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41D" w:rsidRDefault="00E039D2">
      <w:pPr>
        <w:spacing w:after="266"/>
        <w:ind w:left="1243"/>
      </w:pPr>
      <w:r>
        <w:t xml:space="preserve">  </w:t>
      </w:r>
      <w:r w:rsidR="00F83F19">
        <w:rPr>
          <w:noProof/>
        </w:rPr>
        <w:drawing>
          <wp:inline distT="0" distB="0" distL="0" distR="0" wp14:anchorId="1141366E" wp14:editId="0DD1D48F">
            <wp:extent cx="609600" cy="615315"/>
            <wp:effectExtent l="0" t="0" r="0" b="0"/>
            <wp:docPr id="3091" name="Picture 30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1" name="Picture 30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982" cy="615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1ABF">
        <w:tab/>
      </w:r>
      <w:r w:rsidR="00631ABF">
        <w:tab/>
      </w:r>
      <w:r w:rsidR="00F71466">
        <w:tab/>
      </w:r>
      <w:r w:rsidR="00F71466">
        <w:tab/>
      </w:r>
      <w:r w:rsidR="00AB07C8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864E4A">
        <w:t xml:space="preserve">Warszawa, </w:t>
      </w:r>
      <w:r w:rsidR="00864E4A" w:rsidRPr="00F36815">
        <w:rPr>
          <w:i/>
        </w:rPr>
        <w:t>/elektroniczny znacznik czasu/</w:t>
      </w:r>
    </w:p>
    <w:p w:rsidR="000B641D" w:rsidRDefault="00A72014" w:rsidP="00E039D2">
      <w:pPr>
        <w:spacing w:after="249" w:line="249" w:lineRule="auto"/>
        <w:ind w:left="-590" w:right="4547"/>
        <w:jc w:val="center"/>
        <w:rPr>
          <w:b/>
          <w:i/>
          <w:color w:val="878887"/>
          <w:sz w:val="24"/>
        </w:rPr>
      </w:pPr>
      <w:r>
        <w:rPr>
          <w:rFonts w:ascii="Times New Roman" w:eastAsia="Times New Roman" w:hAnsi="Times New Roman" w:cs="Times New Roman"/>
          <w:color w:val="181717"/>
        </w:rPr>
        <w:t>MINISTER DO SPRAW UNII EUROPEJSKIEJ</w:t>
      </w:r>
    </w:p>
    <w:p w:rsidR="00A72014" w:rsidRDefault="00A72014" w:rsidP="00E039D2">
      <w:pPr>
        <w:spacing w:after="249" w:line="249" w:lineRule="auto"/>
        <w:ind w:left="-590" w:right="4547"/>
        <w:jc w:val="center"/>
        <w:rPr>
          <w:b/>
          <w:i/>
          <w:color w:val="878887"/>
          <w:sz w:val="24"/>
        </w:rPr>
      </w:pPr>
      <w:r>
        <w:rPr>
          <w:b/>
          <w:i/>
          <w:color w:val="878887"/>
          <w:sz w:val="24"/>
        </w:rPr>
        <w:t>Konrad Szymański</w:t>
      </w:r>
    </w:p>
    <w:p w:rsidR="009B1ED8" w:rsidRDefault="009B1ED8" w:rsidP="0036308D">
      <w:pPr>
        <w:spacing w:after="0" w:line="240" w:lineRule="auto"/>
        <w:ind w:right="-45"/>
        <w:jc w:val="both"/>
        <w:rPr>
          <w:b/>
          <w:i/>
          <w:color w:val="878887"/>
          <w:sz w:val="24"/>
        </w:rPr>
      </w:pPr>
    </w:p>
    <w:p w:rsidR="00C21013" w:rsidRDefault="0036308D" w:rsidP="00982846">
      <w:pPr>
        <w:spacing w:after="0" w:line="240" w:lineRule="auto"/>
        <w:ind w:right="-45"/>
        <w:jc w:val="both"/>
        <w:rPr>
          <w:rFonts w:asciiTheme="minorHAnsi" w:hAnsiTheme="minorHAnsi" w:cs="Times New Roman"/>
          <w:color w:val="auto"/>
          <w:sz w:val="24"/>
        </w:rPr>
      </w:pPr>
      <w:r>
        <w:rPr>
          <w:rFonts w:asciiTheme="minorHAnsi" w:hAnsiTheme="minorHAnsi" w:cs="Times New Roman"/>
          <w:color w:val="auto"/>
          <w:sz w:val="24"/>
        </w:rPr>
        <w:t xml:space="preserve">Sygn. </w:t>
      </w:r>
      <w:r w:rsidR="004C3719">
        <w:rPr>
          <w:rFonts w:asciiTheme="minorHAnsi" w:hAnsiTheme="minorHAnsi" w:cs="Times New Roman"/>
          <w:color w:val="auto"/>
          <w:sz w:val="24"/>
        </w:rPr>
        <w:t>DPUE.920.2216</w:t>
      </w:r>
      <w:r w:rsidR="00D54FC4">
        <w:rPr>
          <w:rFonts w:asciiTheme="minorHAnsi" w:hAnsiTheme="minorHAnsi" w:cs="Times New Roman"/>
          <w:color w:val="auto"/>
          <w:sz w:val="24"/>
        </w:rPr>
        <w:t>.2021</w:t>
      </w:r>
      <w:r w:rsidR="001D03B9">
        <w:rPr>
          <w:rFonts w:asciiTheme="minorHAnsi" w:hAnsiTheme="minorHAnsi" w:cs="Times New Roman"/>
          <w:color w:val="auto"/>
          <w:sz w:val="24"/>
        </w:rPr>
        <w:t>.RS(2</w:t>
      </w:r>
      <w:r w:rsidR="00AB07C8">
        <w:rPr>
          <w:rFonts w:asciiTheme="minorHAnsi" w:hAnsiTheme="minorHAnsi" w:cs="Times New Roman"/>
          <w:color w:val="auto"/>
          <w:sz w:val="24"/>
        </w:rPr>
        <w:t>)</w:t>
      </w:r>
    </w:p>
    <w:p w:rsidR="00C23FF3" w:rsidRDefault="00982846" w:rsidP="00542DB8">
      <w:pPr>
        <w:spacing w:after="0" w:line="240" w:lineRule="auto"/>
        <w:ind w:right="-45"/>
        <w:jc w:val="both"/>
        <w:rPr>
          <w:rFonts w:asciiTheme="minorHAnsi" w:hAnsiTheme="minorHAnsi" w:cs="Times New Roman"/>
          <w:color w:val="auto"/>
          <w:sz w:val="24"/>
        </w:rPr>
      </w:pPr>
      <w:r>
        <w:rPr>
          <w:rFonts w:asciiTheme="minorHAnsi" w:hAnsiTheme="minorHAnsi" w:cs="Times New Roman"/>
          <w:color w:val="auto"/>
          <w:sz w:val="24"/>
        </w:rPr>
        <w:t xml:space="preserve">dot.: </w:t>
      </w:r>
      <w:r w:rsidR="009436B3">
        <w:rPr>
          <w:rFonts w:asciiTheme="minorHAnsi" w:hAnsiTheme="minorHAnsi" w:cs="Times New Roman"/>
          <w:color w:val="auto"/>
          <w:sz w:val="24"/>
        </w:rPr>
        <w:t xml:space="preserve"> </w:t>
      </w:r>
      <w:r w:rsidR="00526E89">
        <w:rPr>
          <w:rFonts w:asciiTheme="minorHAnsi" w:hAnsiTheme="minorHAnsi" w:cs="Times New Roman"/>
          <w:color w:val="auto"/>
          <w:sz w:val="24"/>
        </w:rPr>
        <w:t>DIK-WIK.0230.3.2021.PR z 05.05</w:t>
      </w:r>
      <w:r w:rsidR="00CC3F08">
        <w:rPr>
          <w:rFonts w:asciiTheme="minorHAnsi" w:hAnsiTheme="minorHAnsi" w:cs="Times New Roman"/>
          <w:color w:val="auto"/>
          <w:sz w:val="24"/>
        </w:rPr>
        <w:t xml:space="preserve">.2021 r. </w:t>
      </w:r>
      <w:r w:rsidR="0036308D">
        <w:rPr>
          <w:rFonts w:asciiTheme="minorHAnsi" w:hAnsiTheme="minorHAnsi" w:cs="Times New Roman"/>
          <w:color w:val="auto"/>
          <w:sz w:val="24"/>
        </w:rPr>
        <w:tab/>
      </w:r>
    </w:p>
    <w:p w:rsidR="00014259" w:rsidRPr="00956158" w:rsidRDefault="0036308D" w:rsidP="00542DB8">
      <w:pPr>
        <w:spacing w:after="0" w:line="240" w:lineRule="auto"/>
        <w:ind w:right="-45"/>
        <w:jc w:val="both"/>
        <w:rPr>
          <w:rFonts w:asciiTheme="minorHAnsi" w:hAnsiTheme="minorHAnsi" w:cs="Times New Roman"/>
          <w:color w:val="auto"/>
          <w:sz w:val="24"/>
        </w:rPr>
      </w:pPr>
      <w:r>
        <w:rPr>
          <w:rFonts w:asciiTheme="minorHAnsi" w:hAnsiTheme="minorHAnsi" w:cs="Times New Roman"/>
          <w:color w:val="auto"/>
          <w:sz w:val="24"/>
        </w:rPr>
        <w:tab/>
      </w:r>
      <w:r>
        <w:rPr>
          <w:rFonts w:asciiTheme="minorHAnsi" w:hAnsiTheme="minorHAnsi" w:cs="Times New Roman"/>
          <w:color w:val="auto"/>
          <w:sz w:val="24"/>
        </w:rPr>
        <w:tab/>
      </w:r>
      <w:r>
        <w:rPr>
          <w:rFonts w:asciiTheme="minorHAnsi" w:hAnsiTheme="minorHAnsi" w:cs="Times New Roman"/>
          <w:color w:val="auto"/>
          <w:sz w:val="24"/>
        </w:rPr>
        <w:tab/>
      </w:r>
      <w:r>
        <w:rPr>
          <w:rFonts w:asciiTheme="minorHAnsi" w:hAnsiTheme="minorHAnsi" w:cs="Times New Roman"/>
          <w:color w:val="auto"/>
          <w:sz w:val="24"/>
        </w:rPr>
        <w:tab/>
      </w:r>
      <w:r w:rsidR="00B9144F">
        <w:rPr>
          <w:rFonts w:asciiTheme="minorHAnsi" w:hAnsiTheme="minorHAnsi" w:cs="Times New Roman"/>
          <w:color w:val="auto"/>
          <w:sz w:val="24"/>
        </w:rPr>
        <w:tab/>
      </w:r>
    </w:p>
    <w:p w:rsidR="00B73F5A" w:rsidRDefault="00B73F5A" w:rsidP="004C3719">
      <w:pPr>
        <w:spacing w:after="0" w:line="240" w:lineRule="auto"/>
        <w:ind w:left="3822" w:firstLine="1134"/>
        <w:rPr>
          <w:rFonts w:eastAsia="Times New Roman" w:cs="Times New Roman"/>
          <w:b/>
          <w:color w:val="auto"/>
          <w:sz w:val="24"/>
          <w:szCs w:val="24"/>
        </w:rPr>
      </w:pPr>
      <w:r w:rsidRPr="00E23D0D">
        <w:rPr>
          <w:rFonts w:eastAsia="Times New Roman" w:cs="Times New Roman"/>
          <w:b/>
          <w:color w:val="auto"/>
          <w:sz w:val="24"/>
          <w:szCs w:val="24"/>
        </w:rPr>
        <w:t>Pan</w:t>
      </w:r>
      <w:r>
        <w:rPr>
          <w:rFonts w:eastAsia="Times New Roman" w:cs="Times New Roman"/>
          <w:b/>
          <w:color w:val="auto"/>
          <w:sz w:val="24"/>
          <w:szCs w:val="24"/>
        </w:rPr>
        <w:t xml:space="preserve"> </w:t>
      </w:r>
      <w:r w:rsidR="004C3719">
        <w:rPr>
          <w:rFonts w:eastAsia="Times New Roman" w:cs="Times New Roman"/>
          <w:b/>
          <w:color w:val="auto"/>
          <w:sz w:val="24"/>
          <w:szCs w:val="24"/>
        </w:rPr>
        <w:t>Piotr Gliński</w:t>
      </w:r>
    </w:p>
    <w:p w:rsidR="004C3719" w:rsidRDefault="004C3719" w:rsidP="004C3719">
      <w:pPr>
        <w:spacing w:after="0" w:line="240" w:lineRule="auto"/>
        <w:ind w:left="3822" w:firstLine="1134"/>
        <w:rPr>
          <w:rFonts w:eastAsia="Times New Roman" w:cs="Times New Roman"/>
          <w:b/>
          <w:color w:val="auto"/>
          <w:sz w:val="24"/>
          <w:szCs w:val="24"/>
        </w:rPr>
      </w:pPr>
      <w:r>
        <w:rPr>
          <w:rFonts w:eastAsia="Times New Roman" w:cs="Times New Roman"/>
          <w:b/>
          <w:color w:val="auto"/>
          <w:sz w:val="24"/>
          <w:szCs w:val="24"/>
        </w:rPr>
        <w:t>Wiceprezes Rady Ministrów</w:t>
      </w:r>
    </w:p>
    <w:p w:rsidR="004C3719" w:rsidRDefault="004C3719" w:rsidP="004C3719">
      <w:pPr>
        <w:spacing w:after="0" w:line="240" w:lineRule="auto"/>
        <w:ind w:left="3822" w:firstLine="1134"/>
        <w:rPr>
          <w:rFonts w:eastAsia="Times New Roman" w:cs="Times New Roman"/>
          <w:b/>
          <w:color w:val="auto"/>
          <w:sz w:val="24"/>
          <w:szCs w:val="24"/>
        </w:rPr>
      </w:pPr>
      <w:r>
        <w:rPr>
          <w:rFonts w:eastAsia="Times New Roman" w:cs="Times New Roman"/>
          <w:b/>
          <w:color w:val="auto"/>
          <w:sz w:val="24"/>
          <w:szCs w:val="24"/>
        </w:rPr>
        <w:t xml:space="preserve">Minister Kultury, </w:t>
      </w:r>
    </w:p>
    <w:p w:rsidR="004C3719" w:rsidRDefault="004C3719" w:rsidP="004C3719">
      <w:pPr>
        <w:spacing w:after="0" w:line="240" w:lineRule="auto"/>
        <w:ind w:left="3822" w:firstLine="1134"/>
        <w:rPr>
          <w:rFonts w:eastAsia="Times New Roman" w:cs="Times New Roman"/>
          <w:b/>
          <w:color w:val="auto"/>
          <w:sz w:val="24"/>
          <w:szCs w:val="24"/>
        </w:rPr>
      </w:pPr>
      <w:r>
        <w:rPr>
          <w:rFonts w:eastAsia="Times New Roman" w:cs="Times New Roman"/>
          <w:b/>
          <w:color w:val="auto"/>
          <w:sz w:val="24"/>
          <w:szCs w:val="24"/>
        </w:rPr>
        <w:t>Dziedzictwa Narodowego i Sportu</w:t>
      </w:r>
    </w:p>
    <w:p w:rsidR="00E23D0D" w:rsidRDefault="00E23D0D" w:rsidP="00956158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sz w:val="24"/>
          <w:szCs w:val="24"/>
        </w:rPr>
      </w:pPr>
    </w:p>
    <w:p w:rsidR="00C23FF3" w:rsidRPr="00E23D0D" w:rsidRDefault="00C23FF3" w:rsidP="00956158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sz w:val="24"/>
          <w:szCs w:val="24"/>
        </w:rPr>
      </w:pPr>
    </w:p>
    <w:p w:rsidR="00E23D0D" w:rsidRPr="00E23D0D" w:rsidRDefault="00E23D0D" w:rsidP="00E24F1F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eastAsia="Times New Roman" w:cs="Times New Roman"/>
          <w:b/>
          <w:sz w:val="24"/>
          <w:szCs w:val="24"/>
        </w:rPr>
      </w:pPr>
      <w:r w:rsidRPr="00E23D0D">
        <w:rPr>
          <w:rFonts w:eastAsia="Times New Roman" w:cs="Times New Roman"/>
          <w:b/>
          <w:sz w:val="24"/>
          <w:szCs w:val="24"/>
        </w:rPr>
        <w:t>Opinia</w:t>
      </w:r>
    </w:p>
    <w:p w:rsidR="00E23D0D" w:rsidRPr="0062415E" w:rsidRDefault="00E23D0D" w:rsidP="00E24F1F">
      <w:pPr>
        <w:jc w:val="center"/>
        <w:rPr>
          <w:rFonts w:eastAsiaTheme="minorHAnsi" w:cs="Times New Roman"/>
          <w:color w:val="17365D"/>
        </w:rPr>
      </w:pPr>
      <w:r w:rsidRPr="00E23D0D">
        <w:rPr>
          <w:rFonts w:eastAsia="Times New Roman" w:cs="Times New Roman"/>
          <w:b/>
          <w:sz w:val="24"/>
          <w:szCs w:val="24"/>
        </w:rPr>
        <w:t>o zgodności z prawem Unii Europejskiej</w:t>
      </w:r>
      <w:r w:rsidR="00956158">
        <w:rPr>
          <w:rFonts w:eastAsia="Times New Roman" w:cs="Times New Roman"/>
          <w:b/>
          <w:sz w:val="24"/>
          <w:szCs w:val="24"/>
        </w:rPr>
        <w:t xml:space="preserve"> </w:t>
      </w:r>
      <w:r w:rsidR="00956158" w:rsidRPr="00956158">
        <w:rPr>
          <w:rFonts w:eastAsia="Times New Roman" w:cs="Times New Roman"/>
          <w:b/>
          <w:i/>
          <w:sz w:val="24"/>
          <w:szCs w:val="24"/>
        </w:rPr>
        <w:t>projektu ustawy o</w:t>
      </w:r>
      <w:r w:rsidR="00956158">
        <w:rPr>
          <w:rFonts w:eastAsia="Times New Roman" w:cs="Times New Roman"/>
          <w:b/>
          <w:i/>
          <w:sz w:val="24"/>
          <w:szCs w:val="24"/>
        </w:rPr>
        <w:t xml:space="preserve"> </w:t>
      </w:r>
      <w:r w:rsidR="004C3719">
        <w:rPr>
          <w:rFonts w:eastAsia="Times New Roman" w:cs="Times New Roman"/>
          <w:b/>
          <w:i/>
          <w:sz w:val="24"/>
          <w:szCs w:val="24"/>
        </w:rPr>
        <w:t>uprawnieniach artysty zawodowego</w:t>
      </w:r>
      <w:r w:rsidRPr="00F00FF4">
        <w:rPr>
          <w:rFonts w:eastAsia="Times New Roman" w:cs="Times New Roman"/>
          <w:b/>
          <w:iCs/>
          <w:sz w:val="24"/>
          <w:szCs w:val="24"/>
        </w:rPr>
        <w:t>,</w:t>
      </w:r>
      <w:r w:rsidRPr="00E23D0D">
        <w:rPr>
          <w:rFonts w:eastAsia="Times New Roman" w:cs="Times New Roman"/>
          <w:b/>
          <w:i/>
          <w:iCs/>
          <w:sz w:val="24"/>
          <w:szCs w:val="24"/>
        </w:rPr>
        <w:t xml:space="preserve"> </w:t>
      </w:r>
      <w:r w:rsidRPr="00E23D0D">
        <w:rPr>
          <w:rFonts w:eastAsia="Times New Roman" w:cs="Times New Roman"/>
          <w:b/>
          <w:sz w:val="24"/>
          <w:szCs w:val="24"/>
        </w:rPr>
        <w:t>wyrażona przez ministra właściwego do spraw członkostwa Rzeczypospolitej Polskiej w Unii Europejskiej</w:t>
      </w:r>
    </w:p>
    <w:p w:rsidR="00E23D0D" w:rsidRPr="00E23D0D" w:rsidRDefault="00E23D0D" w:rsidP="00982846">
      <w:pPr>
        <w:spacing w:after="0" w:line="240" w:lineRule="auto"/>
        <w:ind w:left="-426"/>
        <w:rPr>
          <w:rFonts w:eastAsia="Times New Roman" w:cs="Times New Roman"/>
          <w:i/>
          <w:color w:val="auto"/>
          <w:sz w:val="24"/>
          <w:szCs w:val="24"/>
        </w:rPr>
      </w:pPr>
    </w:p>
    <w:p w:rsidR="002C109B" w:rsidRDefault="00E34163" w:rsidP="002C109B">
      <w:pPr>
        <w:spacing w:after="0" w:line="240" w:lineRule="auto"/>
        <w:ind w:left="-426" w:firstLine="284"/>
        <w:rPr>
          <w:rFonts w:eastAsia="Times New Roman" w:cs="Times New Roman"/>
          <w:i/>
          <w:color w:val="auto"/>
          <w:sz w:val="24"/>
          <w:szCs w:val="24"/>
        </w:rPr>
      </w:pPr>
      <w:r>
        <w:rPr>
          <w:rFonts w:eastAsia="Times New Roman" w:cs="Times New Roman"/>
          <w:i/>
          <w:color w:val="auto"/>
          <w:sz w:val="24"/>
          <w:szCs w:val="24"/>
        </w:rPr>
        <w:t xml:space="preserve">Szanowny </w:t>
      </w:r>
      <w:r w:rsidR="00513DA6">
        <w:rPr>
          <w:rFonts w:eastAsia="Times New Roman" w:cs="Times New Roman"/>
          <w:i/>
          <w:color w:val="auto"/>
          <w:sz w:val="24"/>
          <w:szCs w:val="24"/>
        </w:rPr>
        <w:t>Pani</w:t>
      </w:r>
      <w:r>
        <w:rPr>
          <w:rFonts w:eastAsia="Times New Roman" w:cs="Times New Roman"/>
          <w:i/>
          <w:color w:val="auto"/>
          <w:sz w:val="24"/>
          <w:szCs w:val="24"/>
        </w:rPr>
        <w:t>e</w:t>
      </w:r>
      <w:r w:rsidR="002C109B">
        <w:rPr>
          <w:rFonts w:eastAsia="Times New Roman" w:cs="Times New Roman"/>
          <w:i/>
          <w:color w:val="auto"/>
          <w:sz w:val="24"/>
          <w:szCs w:val="24"/>
        </w:rPr>
        <w:t xml:space="preserve"> </w:t>
      </w:r>
      <w:r w:rsidR="004C3719">
        <w:rPr>
          <w:rFonts w:eastAsia="Times New Roman" w:cs="Times New Roman"/>
          <w:i/>
          <w:color w:val="auto"/>
          <w:sz w:val="24"/>
          <w:szCs w:val="24"/>
        </w:rPr>
        <w:t>Premierze</w:t>
      </w:r>
      <w:r w:rsidR="00513DA6">
        <w:rPr>
          <w:rFonts w:eastAsia="Times New Roman" w:cs="Times New Roman"/>
          <w:i/>
          <w:color w:val="auto"/>
          <w:sz w:val="24"/>
          <w:szCs w:val="24"/>
        </w:rPr>
        <w:t>,</w:t>
      </w:r>
    </w:p>
    <w:p w:rsidR="002C109B" w:rsidRDefault="002C109B" w:rsidP="002C109B">
      <w:pPr>
        <w:spacing w:after="0" w:line="240" w:lineRule="auto"/>
        <w:ind w:left="-142"/>
        <w:rPr>
          <w:rFonts w:eastAsia="Times New Roman" w:cs="Times New Roman"/>
          <w:color w:val="auto"/>
          <w:sz w:val="24"/>
          <w:szCs w:val="24"/>
        </w:rPr>
      </w:pPr>
    </w:p>
    <w:p w:rsidR="00B22F30" w:rsidRDefault="00B22F30" w:rsidP="00B22F30">
      <w:pPr>
        <w:spacing w:after="0" w:line="240" w:lineRule="auto"/>
        <w:ind w:left="-142"/>
        <w:jc w:val="both"/>
        <w:rPr>
          <w:rFonts w:eastAsia="Times New Roman" w:cs="Times New Roman"/>
          <w:color w:val="auto"/>
          <w:sz w:val="24"/>
          <w:szCs w:val="24"/>
        </w:rPr>
      </w:pPr>
      <w:r w:rsidRPr="002C109B">
        <w:rPr>
          <w:rFonts w:eastAsia="Times New Roman" w:cs="Times New Roman"/>
          <w:color w:val="auto"/>
          <w:sz w:val="24"/>
          <w:szCs w:val="24"/>
        </w:rPr>
        <w:t xml:space="preserve">w związku z przedłożonym projektem </w:t>
      </w:r>
      <w:r w:rsidR="00956158">
        <w:rPr>
          <w:rFonts w:eastAsia="Times New Roman" w:cs="Times New Roman"/>
          <w:color w:val="auto"/>
          <w:sz w:val="24"/>
          <w:szCs w:val="24"/>
        </w:rPr>
        <w:t xml:space="preserve">ustawy </w:t>
      </w:r>
      <w:r w:rsidRPr="002C109B">
        <w:rPr>
          <w:rFonts w:eastAsia="Times New Roman" w:cs="Times New Roman"/>
          <w:color w:val="auto"/>
          <w:sz w:val="24"/>
          <w:szCs w:val="24"/>
        </w:rPr>
        <w:t>pozwalam sobie wyrazić poniższą opinię.</w:t>
      </w:r>
    </w:p>
    <w:p w:rsidR="004C3719" w:rsidRDefault="004C3719" w:rsidP="00B22F30">
      <w:pPr>
        <w:spacing w:after="0" w:line="240" w:lineRule="auto"/>
        <w:ind w:left="-142"/>
        <w:jc w:val="both"/>
        <w:rPr>
          <w:rFonts w:eastAsia="Times New Roman" w:cs="Times New Roman"/>
          <w:color w:val="auto"/>
          <w:sz w:val="24"/>
          <w:szCs w:val="24"/>
        </w:rPr>
      </w:pPr>
    </w:p>
    <w:p w:rsidR="004C3719" w:rsidRPr="004C3719" w:rsidRDefault="004C3719" w:rsidP="004C3719">
      <w:pPr>
        <w:pStyle w:val="Akapitzlist"/>
        <w:numPr>
          <w:ilvl w:val="0"/>
          <w:numId w:val="2"/>
        </w:numPr>
        <w:ind w:left="0" w:hanging="283"/>
        <w:contextualSpacing w:val="0"/>
        <w:jc w:val="both"/>
        <w:rPr>
          <w:rFonts w:ascii="Calibri" w:hAnsi="Calibri" w:cs="Calibri"/>
          <w:sz w:val="24"/>
          <w:szCs w:val="24"/>
        </w:rPr>
      </w:pPr>
      <w:r w:rsidRPr="004C3719">
        <w:rPr>
          <w:rFonts w:ascii="Calibri" w:hAnsi="Calibri" w:cs="Calibri"/>
          <w:sz w:val="24"/>
          <w:szCs w:val="24"/>
        </w:rPr>
        <w:t>Art. 57 projektu ustawy przewiduje zmiany w ustawie o prawie autorskim i prawach pokrewnych w zakresie opłaty reprograficznej. Projektodawca proponuje zmianę konstrukcji całego art. 20 tej ustawy i dodanie do niej art. 20a-20i.</w:t>
      </w:r>
    </w:p>
    <w:p w:rsidR="004C3719" w:rsidRPr="004C3719" w:rsidRDefault="004C3719" w:rsidP="004C3719">
      <w:pPr>
        <w:pStyle w:val="Akapitzlist"/>
        <w:ind w:left="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4C3719">
        <w:rPr>
          <w:rFonts w:ascii="Calibri" w:hAnsi="Calibri" w:cs="Calibri"/>
          <w:sz w:val="24"/>
          <w:szCs w:val="24"/>
        </w:rPr>
        <w:t>Kwestie te są objęte zakresem art. 5 ust. 2 lit</w:t>
      </w:r>
      <w:r w:rsidR="006C6E72">
        <w:rPr>
          <w:rFonts w:ascii="Calibri" w:hAnsi="Calibri" w:cs="Calibri"/>
          <w:sz w:val="24"/>
          <w:szCs w:val="24"/>
        </w:rPr>
        <w:t>.</w:t>
      </w:r>
      <w:r w:rsidRPr="004C3719">
        <w:rPr>
          <w:rFonts w:ascii="Calibri" w:hAnsi="Calibri" w:cs="Calibri"/>
          <w:sz w:val="24"/>
          <w:szCs w:val="24"/>
        </w:rPr>
        <w:t xml:space="preserve"> b dyrektywy 2001/29/WE Parlamentu Europejskiego i Rady z dnia 22 maja 2001 r. w sprawie harmonizacji niektórych aspektów praw autorskich i pokrewnych w społeczeństwie informacyjnym. Na podstawie tego przepisu państwa członkowskie mogą przewidzieć wyjątki lub ograniczenia w odniesieniu do prawa do</w:t>
      </w:r>
      <w:r w:rsidR="006C6E72">
        <w:rPr>
          <w:rFonts w:ascii="Calibri" w:hAnsi="Calibri" w:cs="Calibri"/>
          <w:sz w:val="24"/>
          <w:szCs w:val="24"/>
        </w:rPr>
        <w:t> </w:t>
      </w:r>
      <w:r w:rsidRPr="004C3719">
        <w:rPr>
          <w:rFonts w:ascii="Calibri" w:hAnsi="Calibri" w:cs="Calibri"/>
          <w:sz w:val="24"/>
          <w:szCs w:val="24"/>
        </w:rPr>
        <w:t>zwielokrotniania w odniesieniu do zwielokrotniania na dowolnych nośnikach przez osobę fizyczną do prywatnego użytku i do celów ani bezpośrednio, ani pośrednio handlowych, pod</w:t>
      </w:r>
      <w:r w:rsidR="006C6E72">
        <w:rPr>
          <w:rFonts w:ascii="Calibri" w:hAnsi="Calibri" w:cs="Calibri"/>
          <w:sz w:val="24"/>
          <w:szCs w:val="24"/>
        </w:rPr>
        <w:t> </w:t>
      </w:r>
      <w:r w:rsidRPr="004C3719">
        <w:rPr>
          <w:rFonts w:ascii="Calibri" w:hAnsi="Calibri" w:cs="Calibri"/>
          <w:sz w:val="24"/>
          <w:szCs w:val="24"/>
        </w:rPr>
        <w:t>warunkiem że podmioty praw autorskich otrzymają godziwą rekompensatę. Przepisy dyrektywy nie określają, w jaki sposób ma być wypłacana owa godziwa rekompensata za</w:t>
      </w:r>
      <w:r w:rsidR="006C6E72">
        <w:rPr>
          <w:rFonts w:ascii="Calibri" w:hAnsi="Calibri" w:cs="Calibri"/>
          <w:sz w:val="24"/>
          <w:szCs w:val="24"/>
        </w:rPr>
        <w:t> </w:t>
      </w:r>
      <w:r w:rsidRPr="004C3719">
        <w:rPr>
          <w:rFonts w:ascii="Calibri" w:hAnsi="Calibri" w:cs="Calibri"/>
          <w:sz w:val="24"/>
          <w:szCs w:val="24"/>
        </w:rPr>
        <w:t xml:space="preserve">zwielokrotnianie w ramach dozwolonego użytku prywatnego, państwa członkowskie dysponują zatem szerokim marginesem swobody przy określaniu parametrów takiego systemu w swoim prawie krajowym. Orzecznictwo Trybunału Sprawiedliwości UE potwierdza, że to do państw członkowskich należy w szczególności wskazanie kręgu osób, które powinny uiścić tę rekompensatę, oraz ustalenie formy, szczegółowych warunków i wysokości owej rekompensaty w poszanowaniu dyrektywy 2001/29/WE i, bardziej ogólnie, prawa unijnego (wyrok z dnia 9 czerwca 2016 r. C-470/14, EGEDA </w:t>
      </w:r>
      <w:proofErr w:type="spellStart"/>
      <w:r w:rsidRPr="004C3719">
        <w:rPr>
          <w:rFonts w:ascii="Calibri" w:hAnsi="Calibri" w:cs="Calibri"/>
          <w:sz w:val="24"/>
          <w:szCs w:val="24"/>
        </w:rPr>
        <w:t>e.a</w:t>
      </w:r>
      <w:proofErr w:type="spellEnd"/>
      <w:r w:rsidRPr="004C3719">
        <w:rPr>
          <w:rFonts w:ascii="Calibri" w:hAnsi="Calibri" w:cs="Calibri"/>
          <w:sz w:val="24"/>
          <w:szCs w:val="24"/>
        </w:rPr>
        <w:t>., pkt 23). W tym zakresie Trybunał Sprawiedliwości UE podkreśla</w:t>
      </w:r>
      <w:r w:rsidR="006C6E72">
        <w:rPr>
          <w:rFonts w:ascii="Calibri" w:hAnsi="Calibri" w:cs="Calibri"/>
          <w:sz w:val="24"/>
          <w:szCs w:val="24"/>
        </w:rPr>
        <w:t xml:space="preserve"> jednak</w:t>
      </w:r>
      <w:r w:rsidRPr="004C3719">
        <w:rPr>
          <w:rFonts w:ascii="Calibri" w:hAnsi="Calibri" w:cs="Calibri"/>
          <w:sz w:val="24"/>
          <w:szCs w:val="24"/>
        </w:rPr>
        <w:t xml:space="preserve">, że z jednoznacznego brzmienia art. 5 ust. 2 lit. b </w:t>
      </w:r>
      <w:r w:rsidRPr="004C3719">
        <w:rPr>
          <w:rFonts w:ascii="Calibri" w:hAnsi="Calibri" w:cs="Calibri"/>
          <w:sz w:val="24"/>
          <w:szCs w:val="24"/>
        </w:rPr>
        <w:lastRenderedPageBreak/>
        <w:t>dyrektywy 2001/29/WE wynika, że wyjątek dotyczący kopii na użytek prywatny został stworzony z wyłączną korzyścią dla osób fizycznych sporządzających kopie utworów lub</w:t>
      </w:r>
      <w:r w:rsidR="006C6E72">
        <w:rPr>
          <w:rFonts w:ascii="Calibri" w:hAnsi="Calibri" w:cs="Calibri"/>
          <w:sz w:val="24"/>
          <w:szCs w:val="24"/>
        </w:rPr>
        <w:t> </w:t>
      </w:r>
      <w:r w:rsidRPr="004C3719">
        <w:rPr>
          <w:rFonts w:ascii="Calibri" w:hAnsi="Calibri" w:cs="Calibri"/>
          <w:sz w:val="24"/>
          <w:szCs w:val="24"/>
        </w:rPr>
        <w:t xml:space="preserve">innych przedmiotów objętych ochroną lub mających zdolność sporządzenia takich kopii na użytek prywatny i do celów ani bezpośrednio, ani pośrednio handlowych (wyrok z dnia 9 czerwca 2016 r. C-470/14, EGEDA </w:t>
      </w:r>
      <w:proofErr w:type="spellStart"/>
      <w:r w:rsidRPr="004C3719">
        <w:rPr>
          <w:rFonts w:ascii="Calibri" w:hAnsi="Calibri" w:cs="Calibri"/>
          <w:sz w:val="24"/>
          <w:szCs w:val="24"/>
        </w:rPr>
        <w:t>e.a</w:t>
      </w:r>
      <w:proofErr w:type="spellEnd"/>
      <w:r w:rsidRPr="004C3719">
        <w:rPr>
          <w:rFonts w:ascii="Calibri" w:hAnsi="Calibri" w:cs="Calibri"/>
          <w:sz w:val="24"/>
          <w:szCs w:val="24"/>
        </w:rPr>
        <w:t xml:space="preserve">., pkt 29). W związku z tym, zdaniem Trybunału, w odróżnieniu od osób fizycznych, które są objęte zakresem stosowania wyjątku dotyczącego kopii na użytek prywatny na warunkach określonych w dyrektywie 2001/29/WE, osoby prawne są w każdym wypadku wyłączone z możliwości korzystania z tego wyjątku, w związku z czym nie są uprawnione do sporządzania kopii na użytek prywatny bez uzyskania uprzednio zgody podmiotów praw do danych utworów lub przedmiotów objętych ochroną (wyrok z dnia 9 czerwca 2016 r. C-470/14, EGEDA </w:t>
      </w:r>
      <w:proofErr w:type="spellStart"/>
      <w:r w:rsidRPr="004C3719">
        <w:rPr>
          <w:rFonts w:ascii="Calibri" w:hAnsi="Calibri" w:cs="Calibri"/>
          <w:sz w:val="24"/>
          <w:szCs w:val="24"/>
        </w:rPr>
        <w:t>e.a</w:t>
      </w:r>
      <w:proofErr w:type="spellEnd"/>
      <w:r w:rsidRPr="004C3719">
        <w:rPr>
          <w:rFonts w:ascii="Calibri" w:hAnsi="Calibri" w:cs="Calibri"/>
          <w:sz w:val="24"/>
          <w:szCs w:val="24"/>
        </w:rPr>
        <w:t xml:space="preserve">., pkt 30). W rezultacie, zgodnie z orzecznictwem Trybunału stosowanie w sposób niezróżnicowany opłaty licencyjnej za kopię na użytek prywatny w odniesieniu do wszystkich rodzajów sprzętu, urządzeń i nośników zwielokrotniania cyfrowego – w tym przy założeniu, że są one nabywane przez podmioty inne niż osoby fizyczne, na potrzeby oczywiście niezwiązane ze sporządzaniem kopii na użytek prywatny – nie okazuje się zgodne z art. 5 ust. 2 dyrektywy 2001/29 (wyrok z dnia 9 czerwca 2016 r. C-470/14, EGEDA </w:t>
      </w:r>
      <w:proofErr w:type="spellStart"/>
      <w:r w:rsidRPr="004C3719">
        <w:rPr>
          <w:rFonts w:ascii="Calibri" w:hAnsi="Calibri" w:cs="Calibri"/>
          <w:sz w:val="24"/>
          <w:szCs w:val="24"/>
        </w:rPr>
        <w:t>e.a</w:t>
      </w:r>
      <w:proofErr w:type="spellEnd"/>
      <w:r w:rsidRPr="004C3719">
        <w:rPr>
          <w:rFonts w:ascii="Calibri" w:hAnsi="Calibri" w:cs="Calibri"/>
          <w:sz w:val="24"/>
          <w:szCs w:val="24"/>
        </w:rPr>
        <w:t xml:space="preserve">., pkt 31; wyrok z dnia 11 lipca 2013 r. C-521/11, Amazon.com International Sales </w:t>
      </w:r>
      <w:proofErr w:type="spellStart"/>
      <w:r w:rsidRPr="004C3719">
        <w:rPr>
          <w:rFonts w:ascii="Calibri" w:hAnsi="Calibri" w:cs="Calibri"/>
          <w:sz w:val="24"/>
          <w:szCs w:val="24"/>
        </w:rPr>
        <w:t>e.a</w:t>
      </w:r>
      <w:proofErr w:type="spellEnd"/>
      <w:r w:rsidRPr="004C3719">
        <w:rPr>
          <w:rFonts w:ascii="Calibri" w:hAnsi="Calibri" w:cs="Calibri"/>
          <w:sz w:val="24"/>
          <w:szCs w:val="24"/>
        </w:rPr>
        <w:t xml:space="preserve">., pkt 28). </w:t>
      </w:r>
    </w:p>
    <w:p w:rsidR="004C3719" w:rsidRPr="004C3719" w:rsidRDefault="004C3719" w:rsidP="004C3719">
      <w:pPr>
        <w:pStyle w:val="Akapitzlist"/>
        <w:ind w:left="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4C3719">
        <w:rPr>
          <w:rFonts w:ascii="Calibri" w:hAnsi="Calibri" w:cs="Calibri"/>
          <w:sz w:val="24"/>
          <w:szCs w:val="24"/>
        </w:rPr>
        <w:t>Tymczasem projektowana zmiana ustawy o prawie autorskim i prawach pokrewnych nie</w:t>
      </w:r>
      <w:r w:rsidR="006C6E72">
        <w:rPr>
          <w:rFonts w:ascii="Calibri" w:hAnsi="Calibri" w:cs="Calibri"/>
          <w:sz w:val="24"/>
          <w:szCs w:val="24"/>
        </w:rPr>
        <w:t> </w:t>
      </w:r>
      <w:r w:rsidRPr="004C3719">
        <w:rPr>
          <w:rFonts w:ascii="Calibri" w:hAnsi="Calibri" w:cs="Calibri"/>
          <w:sz w:val="24"/>
          <w:szCs w:val="24"/>
        </w:rPr>
        <w:t xml:space="preserve">przewiduje takiego rozróżnienia, tj. opłata reprograficzna ma być pobierana niezależnie od tego, czy urządzenia lub nośniki będą używane na potrzeby niezwiązane ze sporządzaniem kopii na użytek prywatny. </w:t>
      </w:r>
    </w:p>
    <w:p w:rsidR="004C3719" w:rsidRPr="004C3719" w:rsidRDefault="004C3719" w:rsidP="004C3719">
      <w:pPr>
        <w:pStyle w:val="Akapitzlist"/>
        <w:ind w:left="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4C3719">
        <w:rPr>
          <w:rFonts w:ascii="Calibri" w:hAnsi="Calibri" w:cs="Calibri"/>
          <w:sz w:val="24"/>
          <w:szCs w:val="24"/>
        </w:rPr>
        <w:t xml:space="preserve">Wątpliwości w tym zakresie wymagają zatem ponownej analizy projektodawcy. </w:t>
      </w:r>
    </w:p>
    <w:p w:rsidR="004C3719" w:rsidRPr="004C3719" w:rsidRDefault="004C3719" w:rsidP="004C3719">
      <w:pPr>
        <w:pStyle w:val="Akapitzlist"/>
        <w:numPr>
          <w:ilvl w:val="0"/>
          <w:numId w:val="2"/>
        </w:numPr>
        <w:ind w:left="0" w:hanging="283"/>
        <w:contextualSpacing w:val="0"/>
        <w:jc w:val="both"/>
        <w:rPr>
          <w:rFonts w:ascii="Calibri" w:hAnsi="Calibri" w:cs="Calibri"/>
          <w:sz w:val="24"/>
          <w:szCs w:val="24"/>
        </w:rPr>
      </w:pPr>
      <w:r w:rsidRPr="004C3719">
        <w:rPr>
          <w:rFonts w:ascii="Calibri" w:hAnsi="Calibri" w:cs="Calibri"/>
          <w:sz w:val="24"/>
          <w:szCs w:val="24"/>
        </w:rPr>
        <w:t>Ponadto ze wspomnianego orzecznictwa Trybunału wynika, że regulacje, które przewidują pobór opłat od każdego urządzenia lub nośnika, niezależnie od tego</w:t>
      </w:r>
      <w:r w:rsidR="006C6E72">
        <w:rPr>
          <w:rFonts w:ascii="Calibri" w:hAnsi="Calibri" w:cs="Calibri"/>
          <w:sz w:val="24"/>
          <w:szCs w:val="24"/>
        </w:rPr>
        <w:t>,</w:t>
      </w:r>
      <w:r w:rsidRPr="004C3719">
        <w:rPr>
          <w:rFonts w:ascii="Calibri" w:hAnsi="Calibri" w:cs="Calibri"/>
          <w:sz w:val="24"/>
          <w:szCs w:val="24"/>
        </w:rPr>
        <w:t xml:space="preserve"> czy będą one przeznaczone do użytku prywatnego, bądź też nie, a jednocześnie nie przewidują zwrotu nienależnie pobranych opłat, nie odpowiadają </w:t>
      </w:r>
      <w:r w:rsidR="006C6E72">
        <w:rPr>
          <w:rFonts w:ascii="Calibri" w:hAnsi="Calibri" w:cs="Calibri"/>
          <w:sz w:val="24"/>
          <w:szCs w:val="24"/>
        </w:rPr>
        <w:t>przepisom</w:t>
      </w:r>
      <w:r w:rsidRPr="004C3719">
        <w:rPr>
          <w:rFonts w:ascii="Calibri" w:hAnsi="Calibri" w:cs="Calibri"/>
          <w:sz w:val="24"/>
          <w:szCs w:val="24"/>
        </w:rPr>
        <w:t xml:space="preserve"> dyrektywy 2001/29/WE (wyrok z</w:t>
      </w:r>
      <w:r w:rsidR="006C6E72">
        <w:rPr>
          <w:rFonts w:ascii="Calibri" w:hAnsi="Calibri" w:cs="Calibri"/>
          <w:sz w:val="24"/>
          <w:szCs w:val="24"/>
        </w:rPr>
        <w:t> </w:t>
      </w:r>
      <w:r w:rsidRPr="004C3719">
        <w:rPr>
          <w:rFonts w:ascii="Calibri" w:hAnsi="Calibri" w:cs="Calibri"/>
          <w:sz w:val="24"/>
          <w:szCs w:val="24"/>
        </w:rPr>
        <w:t xml:space="preserve">dnia 9 czerwca 2016 r. C-470/14, EGEDA </w:t>
      </w:r>
      <w:proofErr w:type="spellStart"/>
      <w:r w:rsidRPr="004C3719">
        <w:rPr>
          <w:rFonts w:ascii="Calibri" w:hAnsi="Calibri" w:cs="Calibri"/>
          <w:sz w:val="24"/>
          <w:szCs w:val="24"/>
        </w:rPr>
        <w:t>e.a</w:t>
      </w:r>
      <w:proofErr w:type="spellEnd"/>
      <w:r w:rsidRPr="004C3719">
        <w:rPr>
          <w:rFonts w:ascii="Calibri" w:hAnsi="Calibri" w:cs="Calibri"/>
          <w:sz w:val="24"/>
          <w:szCs w:val="24"/>
        </w:rPr>
        <w:t>., pkt 40-41; wyrok z dnia 11 lipca 2013 r. C-</w:t>
      </w:r>
      <w:r w:rsidR="006C6E72">
        <w:rPr>
          <w:rFonts w:ascii="Calibri" w:hAnsi="Calibri" w:cs="Calibri"/>
          <w:sz w:val="24"/>
          <w:szCs w:val="24"/>
        </w:rPr>
        <w:t> </w:t>
      </w:r>
      <w:r w:rsidRPr="004C3719">
        <w:rPr>
          <w:rFonts w:ascii="Calibri" w:hAnsi="Calibri" w:cs="Calibri"/>
          <w:sz w:val="24"/>
          <w:szCs w:val="24"/>
        </w:rPr>
        <w:t xml:space="preserve">521/11, Amazon.com International Sales </w:t>
      </w:r>
      <w:proofErr w:type="spellStart"/>
      <w:r w:rsidRPr="004C3719">
        <w:rPr>
          <w:rFonts w:ascii="Calibri" w:hAnsi="Calibri" w:cs="Calibri"/>
          <w:sz w:val="24"/>
          <w:szCs w:val="24"/>
        </w:rPr>
        <w:t>e.a</w:t>
      </w:r>
      <w:proofErr w:type="spellEnd"/>
      <w:r w:rsidRPr="004C3719">
        <w:rPr>
          <w:rFonts w:ascii="Calibri" w:hAnsi="Calibri" w:cs="Calibri"/>
          <w:sz w:val="24"/>
          <w:szCs w:val="24"/>
        </w:rPr>
        <w:t xml:space="preserve">., pkt 31).  </w:t>
      </w:r>
    </w:p>
    <w:p w:rsidR="004C3719" w:rsidRPr="004C3719" w:rsidRDefault="004C3719" w:rsidP="004C3719">
      <w:pPr>
        <w:pStyle w:val="Akapitzlist"/>
        <w:ind w:left="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4C3719">
        <w:rPr>
          <w:rFonts w:ascii="Calibri" w:hAnsi="Calibri" w:cs="Calibri"/>
          <w:sz w:val="24"/>
          <w:szCs w:val="24"/>
        </w:rPr>
        <w:t xml:space="preserve">Projektowane zmiany w ustawie o prawie autorskim i prawach pokrewnym (art. 57 projektu ustawy) nie przewidują regulacji w zakresie zwrotu pobranej nienależnie opłaty reprograficznej. </w:t>
      </w:r>
    </w:p>
    <w:p w:rsidR="004C3719" w:rsidRPr="004C3719" w:rsidRDefault="004C3719" w:rsidP="004C3719">
      <w:pPr>
        <w:pStyle w:val="Akapitzlist"/>
        <w:ind w:left="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4C3719">
        <w:rPr>
          <w:rFonts w:ascii="Calibri" w:hAnsi="Calibri" w:cs="Calibri"/>
          <w:sz w:val="24"/>
          <w:szCs w:val="24"/>
        </w:rPr>
        <w:t xml:space="preserve">Kwestia ta również budzi wątpliwości co do zgodności z dyrektywą 2001/29/WE, które należy poddać ponownej analizie w trakcie prac nad projektem ustawy. </w:t>
      </w:r>
    </w:p>
    <w:p w:rsidR="004C3719" w:rsidRPr="004C3719" w:rsidRDefault="004C3719" w:rsidP="004C3719">
      <w:pPr>
        <w:pStyle w:val="Akapitzlist"/>
        <w:numPr>
          <w:ilvl w:val="0"/>
          <w:numId w:val="2"/>
        </w:numPr>
        <w:ind w:left="0" w:hanging="283"/>
        <w:contextualSpacing w:val="0"/>
        <w:jc w:val="both"/>
        <w:rPr>
          <w:rFonts w:ascii="Calibri" w:hAnsi="Calibri" w:cs="Calibri"/>
          <w:sz w:val="24"/>
          <w:szCs w:val="24"/>
        </w:rPr>
      </w:pPr>
      <w:r w:rsidRPr="004C3719">
        <w:rPr>
          <w:rFonts w:ascii="Calibri" w:hAnsi="Calibri" w:cs="Calibri"/>
          <w:sz w:val="24"/>
          <w:szCs w:val="24"/>
        </w:rPr>
        <w:t xml:space="preserve">Jednocześnie, zgodnie z orzecznictwem Trybunału, w celu ustalenia wysokości omawianej godziwej rekompensaty należy wziąć pod uwagę, jako pomocne kryterium, szkodę poniesioną przez konkretny podmiot praw autorskich w wyniku danej czynności zwielokrotnienia (wyrok z dnia 9 czerwca 2016 r. C-470/14, EGEDA </w:t>
      </w:r>
      <w:proofErr w:type="spellStart"/>
      <w:r w:rsidRPr="004C3719">
        <w:rPr>
          <w:rFonts w:ascii="Calibri" w:hAnsi="Calibri" w:cs="Calibri"/>
          <w:sz w:val="24"/>
          <w:szCs w:val="24"/>
        </w:rPr>
        <w:t>e.a</w:t>
      </w:r>
      <w:proofErr w:type="spellEnd"/>
      <w:r w:rsidRPr="004C3719">
        <w:rPr>
          <w:rFonts w:ascii="Calibri" w:hAnsi="Calibri" w:cs="Calibri"/>
          <w:sz w:val="24"/>
          <w:szCs w:val="24"/>
        </w:rPr>
        <w:t>., pkt 26-27; wyrok z dnia 11 lipca 2013 r. C-</w:t>
      </w:r>
      <w:r w:rsidR="006C6E72">
        <w:rPr>
          <w:rFonts w:ascii="Calibri" w:hAnsi="Calibri" w:cs="Calibri"/>
          <w:sz w:val="24"/>
          <w:szCs w:val="24"/>
        </w:rPr>
        <w:t> </w:t>
      </w:r>
      <w:r w:rsidRPr="004C3719">
        <w:rPr>
          <w:rFonts w:ascii="Calibri" w:hAnsi="Calibri" w:cs="Calibri"/>
          <w:sz w:val="24"/>
          <w:szCs w:val="24"/>
        </w:rPr>
        <w:t xml:space="preserve">521/11, Amazon.com International Sales </w:t>
      </w:r>
      <w:proofErr w:type="spellStart"/>
      <w:r w:rsidRPr="004C3719">
        <w:rPr>
          <w:rFonts w:ascii="Calibri" w:hAnsi="Calibri" w:cs="Calibri"/>
          <w:sz w:val="24"/>
          <w:szCs w:val="24"/>
        </w:rPr>
        <w:t>e.a</w:t>
      </w:r>
      <w:proofErr w:type="spellEnd"/>
      <w:r w:rsidRPr="004C3719">
        <w:rPr>
          <w:rFonts w:ascii="Calibri" w:hAnsi="Calibri" w:cs="Calibri"/>
          <w:sz w:val="24"/>
          <w:szCs w:val="24"/>
        </w:rPr>
        <w:t>., pkt 47). Koncepcja i wysokość godziwej rekompensaty w rozumieniu art. 5 ust. 2 lit. b dyrektywy 2001/29/WE są bowiem związane ze szkodą wynikającą dla podmiotów wyłącznego prawa do zwielokrotniania z dokonanego bez ich zgody, na użytek prywatny, zwielokrotnienia ich chronionych utworów. W tej</w:t>
      </w:r>
      <w:r w:rsidR="006C6E72">
        <w:rPr>
          <w:rFonts w:ascii="Calibri" w:hAnsi="Calibri" w:cs="Calibri"/>
          <w:sz w:val="24"/>
          <w:szCs w:val="24"/>
        </w:rPr>
        <w:t> </w:t>
      </w:r>
      <w:r w:rsidRPr="004C3719">
        <w:rPr>
          <w:rFonts w:ascii="Calibri" w:hAnsi="Calibri" w:cs="Calibri"/>
          <w:sz w:val="24"/>
          <w:szCs w:val="24"/>
        </w:rPr>
        <w:t xml:space="preserve">perspektywie godziwą rekompensatę należy uważać za wyrównanie szkody poniesionej </w:t>
      </w:r>
      <w:r w:rsidRPr="004C3719">
        <w:rPr>
          <w:rFonts w:ascii="Calibri" w:hAnsi="Calibri" w:cs="Calibri"/>
          <w:sz w:val="24"/>
          <w:szCs w:val="24"/>
        </w:rPr>
        <w:lastRenderedPageBreak/>
        <w:t xml:space="preserve">przez te podmioty i koniecznie musi być ona obliczana na podstawie kryterium szkody wyrządzonej im poprzez wprowadzenie wyjątku kopii na użytek prywatny (wyrok z dnia 11 lipca 2013 r. C-521/11, Amazon.com International Sales </w:t>
      </w:r>
      <w:proofErr w:type="spellStart"/>
      <w:r w:rsidRPr="004C3719">
        <w:rPr>
          <w:rFonts w:ascii="Calibri" w:hAnsi="Calibri" w:cs="Calibri"/>
          <w:sz w:val="24"/>
          <w:szCs w:val="24"/>
        </w:rPr>
        <w:t>e.a</w:t>
      </w:r>
      <w:proofErr w:type="spellEnd"/>
      <w:r w:rsidRPr="004C3719">
        <w:rPr>
          <w:rFonts w:ascii="Calibri" w:hAnsi="Calibri" w:cs="Calibri"/>
          <w:sz w:val="24"/>
          <w:szCs w:val="24"/>
        </w:rPr>
        <w:t>., pkt 47).</w:t>
      </w:r>
    </w:p>
    <w:p w:rsidR="004C3719" w:rsidRPr="004C3719" w:rsidRDefault="004C3719" w:rsidP="004C3719">
      <w:pPr>
        <w:pStyle w:val="Akapitzlist"/>
        <w:ind w:left="0"/>
        <w:jc w:val="both"/>
        <w:rPr>
          <w:rFonts w:ascii="Calibri" w:hAnsi="Calibri" w:cs="Calibri"/>
          <w:sz w:val="24"/>
          <w:szCs w:val="24"/>
        </w:rPr>
      </w:pPr>
      <w:r w:rsidRPr="004C3719">
        <w:rPr>
          <w:rFonts w:ascii="Calibri" w:hAnsi="Calibri" w:cs="Calibri"/>
          <w:sz w:val="24"/>
          <w:szCs w:val="24"/>
        </w:rPr>
        <w:t>Projektowany art. 20 ust. 4 ustawy o prawie autorskim i prawach pokrewnych (art. 57 projektu ustawy) stanowi, że opłata ma wysokość od 1 do 4 procent:</w:t>
      </w:r>
    </w:p>
    <w:p w:rsidR="004C3719" w:rsidRPr="004C3719" w:rsidRDefault="004C3719" w:rsidP="004C3719">
      <w:pPr>
        <w:pStyle w:val="Akapitzlist"/>
        <w:ind w:left="0"/>
        <w:jc w:val="both"/>
        <w:rPr>
          <w:rFonts w:ascii="Calibri" w:hAnsi="Calibri" w:cs="Calibri"/>
          <w:sz w:val="24"/>
          <w:szCs w:val="24"/>
        </w:rPr>
      </w:pPr>
      <w:r w:rsidRPr="004C3719">
        <w:rPr>
          <w:rFonts w:ascii="Calibri" w:hAnsi="Calibri" w:cs="Calibri"/>
          <w:sz w:val="24"/>
          <w:szCs w:val="24"/>
        </w:rPr>
        <w:t xml:space="preserve">1) kwoty brutto należnej z tytułu pierwszej sprzedaży towaru, </w:t>
      </w:r>
    </w:p>
    <w:p w:rsidR="004C3719" w:rsidRPr="004C3719" w:rsidRDefault="004C3719" w:rsidP="004C3719">
      <w:pPr>
        <w:pStyle w:val="Akapitzlist"/>
        <w:ind w:left="0"/>
        <w:jc w:val="both"/>
        <w:rPr>
          <w:rFonts w:ascii="Calibri" w:hAnsi="Calibri" w:cs="Calibri"/>
          <w:sz w:val="24"/>
          <w:szCs w:val="24"/>
        </w:rPr>
      </w:pPr>
      <w:r w:rsidRPr="004C3719">
        <w:rPr>
          <w:rFonts w:ascii="Calibri" w:hAnsi="Calibri" w:cs="Calibri"/>
          <w:sz w:val="24"/>
          <w:szCs w:val="24"/>
        </w:rPr>
        <w:t>2) wartości rynkowej towaru z dnia pierwszego przekazania albo pierwszego przyjęcia w</w:t>
      </w:r>
      <w:r w:rsidR="006C6E72">
        <w:rPr>
          <w:rFonts w:ascii="Calibri" w:hAnsi="Calibri" w:cs="Calibri"/>
          <w:sz w:val="24"/>
          <w:szCs w:val="24"/>
        </w:rPr>
        <w:t> </w:t>
      </w:r>
      <w:r w:rsidRPr="004C3719">
        <w:rPr>
          <w:rFonts w:ascii="Calibri" w:hAnsi="Calibri" w:cs="Calibri"/>
          <w:sz w:val="24"/>
          <w:szCs w:val="24"/>
        </w:rPr>
        <w:t xml:space="preserve">użytkowanie dokonanego na terytorium. </w:t>
      </w:r>
    </w:p>
    <w:p w:rsidR="004C3719" w:rsidRPr="004C3719" w:rsidRDefault="004C3719" w:rsidP="004C3719">
      <w:pPr>
        <w:pStyle w:val="Akapitzlist"/>
        <w:ind w:left="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4C3719">
        <w:rPr>
          <w:rFonts w:ascii="Calibri" w:hAnsi="Calibri" w:cs="Calibri"/>
          <w:sz w:val="24"/>
          <w:szCs w:val="24"/>
        </w:rPr>
        <w:t xml:space="preserve">Ponadto projektowany art. 20f ust. 5 tej ustawy przewiduje, że jeżeli organizacje zbiorowego zarządzania nie zawarły porozumienia w sprawie podziału opłat lub porozumienie to zerwały, opłata podlega przekazaniu w sposób określony przez ministra właściwego do spraw kultury i ochrony dziedzictwa narodowego, </w:t>
      </w:r>
      <w:r w:rsidRPr="006C6E72">
        <w:rPr>
          <w:rFonts w:ascii="Calibri" w:hAnsi="Calibri" w:cs="Calibri"/>
          <w:sz w:val="24"/>
          <w:szCs w:val="24"/>
        </w:rPr>
        <w:t>z uwzględnieniem struktury korzystania z utworów i</w:t>
      </w:r>
      <w:r w:rsidR="006C6E72">
        <w:rPr>
          <w:rFonts w:ascii="Calibri" w:hAnsi="Calibri" w:cs="Calibri"/>
          <w:sz w:val="24"/>
          <w:szCs w:val="24"/>
        </w:rPr>
        <w:t> </w:t>
      </w:r>
      <w:r w:rsidRPr="006C6E72">
        <w:rPr>
          <w:rFonts w:ascii="Calibri" w:hAnsi="Calibri" w:cs="Calibri"/>
          <w:sz w:val="24"/>
          <w:szCs w:val="24"/>
        </w:rPr>
        <w:t xml:space="preserve">artystycznych </w:t>
      </w:r>
      <w:proofErr w:type="spellStart"/>
      <w:r w:rsidRPr="006C6E72">
        <w:rPr>
          <w:rFonts w:ascii="Calibri" w:hAnsi="Calibri" w:cs="Calibri"/>
          <w:sz w:val="24"/>
          <w:szCs w:val="24"/>
        </w:rPr>
        <w:t>wykonań</w:t>
      </w:r>
      <w:proofErr w:type="spellEnd"/>
      <w:r w:rsidRPr="004C3719">
        <w:rPr>
          <w:rFonts w:ascii="Calibri" w:hAnsi="Calibri" w:cs="Calibri"/>
          <w:sz w:val="24"/>
          <w:szCs w:val="24"/>
        </w:rPr>
        <w:t xml:space="preserve">. Z kolei na podstawie art. 20f ust. 6 minister właściwy do spraw kultury może określić, w drodze rozporządzenia, sposób podziału opłaty między właściwe organizacje zbiorowego zarządzania, </w:t>
      </w:r>
      <w:r w:rsidRPr="006C6E72">
        <w:rPr>
          <w:rFonts w:ascii="Calibri" w:hAnsi="Calibri" w:cs="Calibri"/>
          <w:sz w:val="24"/>
          <w:szCs w:val="24"/>
        </w:rPr>
        <w:t>biorąc pod uwagę strukturę korzystania z utworów i</w:t>
      </w:r>
      <w:r w:rsidR="006C6E72">
        <w:rPr>
          <w:rFonts w:ascii="Calibri" w:hAnsi="Calibri" w:cs="Calibri"/>
          <w:sz w:val="24"/>
          <w:szCs w:val="24"/>
        </w:rPr>
        <w:t> </w:t>
      </w:r>
      <w:r w:rsidRPr="006C6E72">
        <w:rPr>
          <w:rFonts w:ascii="Calibri" w:hAnsi="Calibri" w:cs="Calibri"/>
          <w:sz w:val="24"/>
          <w:szCs w:val="24"/>
        </w:rPr>
        <w:t xml:space="preserve">artystycznych </w:t>
      </w:r>
      <w:proofErr w:type="spellStart"/>
      <w:r w:rsidRPr="006C6E72">
        <w:rPr>
          <w:rFonts w:ascii="Calibri" w:hAnsi="Calibri" w:cs="Calibri"/>
          <w:sz w:val="24"/>
          <w:szCs w:val="24"/>
        </w:rPr>
        <w:t>wykonań</w:t>
      </w:r>
      <w:proofErr w:type="spellEnd"/>
      <w:r w:rsidRPr="006C6E72">
        <w:rPr>
          <w:rFonts w:ascii="Calibri" w:hAnsi="Calibri" w:cs="Calibri"/>
          <w:sz w:val="24"/>
          <w:szCs w:val="24"/>
        </w:rPr>
        <w:t xml:space="preserve"> dla własnego użytku osobistego</w:t>
      </w:r>
      <w:r w:rsidRPr="004C3719">
        <w:rPr>
          <w:rFonts w:ascii="Calibri" w:hAnsi="Calibri" w:cs="Calibri"/>
          <w:sz w:val="24"/>
          <w:szCs w:val="24"/>
        </w:rPr>
        <w:t xml:space="preserve"> oraz proporcje udziałów w</w:t>
      </w:r>
      <w:r w:rsidR="006C6E72">
        <w:rPr>
          <w:rFonts w:ascii="Calibri" w:hAnsi="Calibri" w:cs="Calibri"/>
          <w:sz w:val="24"/>
          <w:szCs w:val="24"/>
        </w:rPr>
        <w:t> </w:t>
      </w:r>
      <w:r w:rsidRPr="004C3719">
        <w:rPr>
          <w:rFonts w:ascii="Calibri" w:hAnsi="Calibri" w:cs="Calibri"/>
          <w:sz w:val="24"/>
          <w:szCs w:val="24"/>
        </w:rPr>
        <w:t>tej</w:t>
      </w:r>
      <w:r w:rsidR="006C6E72">
        <w:rPr>
          <w:rFonts w:ascii="Calibri" w:hAnsi="Calibri" w:cs="Calibri"/>
          <w:sz w:val="24"/>
          <w:szCs w:val="24"/>
        </w:rPr>
        <w:t> </w:t>
      </w:r>
      <w:r w:rsidRPr="004C3719">
        <w:rPr>
          <w:rFonts w:ascii="Calibri" w:hAnsi="Calibri" w:cs="Calibri"/>
          <w:sz w:val="24"/>
          <w:szCs w:val="24"/>
        </w:rPr>
        <w:t>strukturze poszczególnych właściwych organizacji zbiorowego zarządzania. Jednocześnie na podstawie projektowanego art. 20i minister właściwy do spraw kultury określi, w drodze rozporządzenia typy urządzeń i nośników, o których mowa w art. 20 ust. 1 i</w:t>
      </w:r>
      <w:r w:rsidR="006C6E72">
        <w:rPr>
          <w:rFonts w:ascii="Calibri" w:hAnsi="Calibri" w:cs="Calibri"/>
          <w:sz w:val="24"/>
          <w:szCs w:val="24"/>
        </w:rPr>
        <w:t> </w:t>
      </w:r>
      <w:r w:rsidRPr="004C3719">
        <w:rPr>
          <w:rFonts w:ascii="Calibri" w:hAnsi="Calibri" w:cs="Calibri"/>
          <w:sz w:val="24"/>
          <w:szCs w:val="24"/>
        </w:rPr>
        <w:t xml:space="preserve">wysokość opłat, mając na uwadze </w:t>
      </w:r>
      <w:r w:rsidRPr="006C6E72">
        <w:rPr>
          <w:rFonts w:ascii="Calibri" w:hAnsi="Calibri" w:cs="Calibri"/>
          <w:sz w:val="24"/>
          <w:szCs w:val="24"/>
        </w:rPr>
        <w:t>cenę danego urządzenia i zakres jego wykorzystywania w</w:t>
      </w:r>
      <w:r w:rsidR="006C6E72">
        <w:rPr>
          <w:rFonts w:ascii="Calibri" w:hAnsi="Calibri" w:cs="Calibri"/>
          <w:sz w:val="24"/>
          <w:szCs w:val="24"/>
        </w:rPr>
        <w:t> </w:t>
      </w:r>
      <w:r w:rsidRPr="006C6E72">
        <w:rPr>
          <w:rFonts w:ascii="Calibri" w:hAnsi="Calibri" w:cs="Calibri"/>
          <w:sz w:val="24"/>
          <w:szCs w:val="24"/>
        </w:rPr>
        <w:t>ramach dozwolonego użytku osobistego.</w:t>
      </w:r>
      <w:r w:rsidRPr="004C3719">
        <w:rPr>
          <w:rFonts w:ascii="Calibri" w:hAnsi="Calibri" w:cs="Calibri"/>
          <w:sz w:val="24"/>
          <w:szCs w:val="24"/>
          <w:u w:val="single"/>
        </w:rPr>
        <w:t xml:space="preserve"> </w:t>
      </w:r>
    </w:p>
    <w:p w:rsidR="004C3719" w:rsidRPr="004C3719" w:rsidRDefault="004C3719" w:rsidP="004C3719">
      <w:pPr>
        <w:pStyle w:val="Akapitzlist"/>
        <w:ind w:left="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4C3719">
        <w:rPr>
          <w:rFonts w:ascii="Calibri" w:hAnsi="Calibri" w:cs="Calibri"/>
          <w:sz w:val="24"/>
          <w:szCs w:val="24"/>
        </w:rPr>
        <w:t xml:space="preserve">Powyższe reguły określają zatem, że pobierana opłata ma być uzależniona od wartości rynkowej danego towaru, zakresu jego wykorzystywania w ramach dozwolonego użytku osobistego oraz struktury korzystania z utworów i artystycznych </w:t>
      </w:r>
      <w:proofErr w:type="spellStart"/>
      <w:r w:rsidRPr="004C3719">
        <w:rPr>
          <w:rFonts w:ascii="Calibri" w:hAnsi="Calibri" w:cs="Calibri"/>
          <w:sz w:val="24"/>
          <w:szCs w:val="24"/>
        </w:rPr>
        <w:t>wykonań</w:t>
      </w:r>
      <w:proofErr w:type="spellEnd"/>
      <w:r w:rsidRPr="004C3719">
        <w:rPr>
          <w:rFonts w:ascii="Calibri" w:hAnsi="Calibri" w:cs="Calibri"/>
          <w:sz w:val="24"/>
          <w:szCs w:val="24"/>
        </w:rPr>
        <w:t xml:space="preserve"> dla własnego użytku osobistego.</w:t>
      </w:r>
      <w:r w:rsidR="00177E3B">
        <w:rPr>
          <w:rFonts w:ascii="Calibri" w:hAnsi="Calibri" w:cs="Calibri"/>
          <w:sz w:val="24"/>
          <w:szCs w:val="24"/>
        </w:rPr>
        <w:t xml:space="preserve"> </w:t>
      </w:r>
      <w:r w:rsidRPr="004C3719">
        <w:rPr>
          <w:rFonts w:ascii="Calibri" w:hAnsi="Calibri" w:cs="Calibri"/>
          <w:sz w:val="24"/>
          <w:szCs w:val="24"/>
        </w:rPr>
        <w:t>Wydaje się to nie odpowiadać kryterium szkody wynikającej dla</w:t>
      </w:r>
      <w:r w:rsidR="006C6E72">
        <w:rPr>
          <w:rFonts w:ascii="Calibri" w:hAnsi="Calibri" w:cs="Calibri"/>
          <w:sz w:val="24"/>
          <w:szCs w:val="24"/>
        </w:rPr>
        <w:t> </w:t>
      </w:r>
      <w:r w:rsidRPr="004C3719">
        <w:rPr>
          <w:rFonts w:ascii="Calibri" w:hAnsi="Calibri" w:cs="Calibri"/>
          <w:sz w:val="24"/>
          <w:szCs w:val="24"/>
        </w:rPr>
        <w:t xml:space="preserve">podmiotów wyłącznego prawa do zwielokrotniania z dokonanego bez ich zgody, na użytek prywatny, zwielokrotnienia ich chronionych utworów. </w:t>
      </w:r>
    </w:p>
    <w:p w:rsidR="004C3719" w:rsidRPr="004C3719" w:rsidRDefault="004C3719" w:rsidP="004C3719">
      <w:pPr>
        <w:pStyle w:val="Akapitzlist"/>
        <w:ind w:left="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4C3719">
        <w:rPr>
          <w:rFonts w:ascii="Calibri" w:hAnsi="Calibri" w:cs="Calibri"/>
          <w:sz w:val="24"/>
          <w:szCs w:val="24"/>
        </w:rPr>
        <w:t>Zasadne jest zatem wskazanie, w jaki sposób określone w projektowanych przepisach wytyczne dotyczące pobierania opłaty reprograficznej mają odpowiadać określonej przez</w:t>
      </w:r>
      <w:r w:rsidR="006C6E72">
        <w:rPr>
          <w:rFonts w:ascii="Calibri" w:hAnsi="Calibri" w:cs="Calibri"/>
          <w:sz w:val="24"/>
          <w:szCs w:val="24"/>
        </w:rPr>
        <w:t> </w:t>
      </w:r>
      <w:r w:rsidRPr="004C3719">
        <w:rPr>
          <w:rFonts w:ascii="Calibri" w:hAnsi="Calibri" w:cs="Calibri"/>
          <w:sz w:val="24"/>
          <w:szCs w:val="24"/>
        </w:rPr>
        <w:t xml:space="preserve">Trybunał koncepcji godziwej rekompensaty w zakresie jej wysokości. Zasadne będzie również uzupełnienie uzasadnienia do projektu ustawy pod tym kątem bądź doprecyzowanie projektowanych przepisów. </w:t>
      </w:r>
    </w:p>
    <w:p w:rsidR="004C3719" w:rsidRPr="004C3719" w:rsidRDefault="004C3719" w:rsidP="00526E89">
      <w:pPr>
        <w:pStyle w:val="Akapitzlist"/>
        <w:ind w:left="0" w:hanging="284"/>
        <w:contextualSpacing w:val="0"/>
        <w:jc w:val="both"/>
        <w:rPr>
          <w:rFonts w:ascii="Calibri" w:hAnsi="Calibri" w:cs="Calibri"/>
          <w:sz w:val="24"/>
          <w:szCs w:val="24"/>
        </w:rPr>
      </w:pPr>
      <w:r w:rsidRPr="004C3719">
        <w:rPr>
          <w:rFonts w:ascii="Calibri" w:hAnsi="Calibri" w:cs="Calibri"/>
          <w:sz w:val="24"/>
          <w:szCs w:val="24"/>
        </w:rPr>
        <w:t xml:space="preserve">4. </w:t>
      </w:r>
      <w:r w:rsidRPr="004C3719">
        <w:rPr>
          <w:rFonts w:ascii="Calibri" w:hAnsi="Calibri" w:cs="Calibri"/>
          <w:sz w:val="24"/>
          <w:szCs w:val="24"/>
        </w:rPr>
        <w:tab/>
        <w:t>Projektowany art. 20 ust. 1 pkt 1 ustawy o prawie autorskim i prawach pokrewnych (art. 57 projektu ustawy) wskazuje, że opłacie za dozwolony użytek utworów chronionych lub</w:t>
      </w:r>
      <w:r w:rsidR="006C6E72">
        <w:rPr>
          <w:rFonts w:ascii="Calibri" w:hAnsi="Calibri" w:cs="Calibri"/>
          <w:sz w:val="24"/>
          <w:szCs w:val="24"/>
        </w:rPr>
        <w:t> </w:t>
      </w:r>
      <w:r w:rsidRPr="004C3719">
        <w:rPr>
          <w:rFonts w:ascii="Calibri" w:hAnsi="Calibri" w:cs="Calibri"/>
          <w:sz w:val="24"/>
          <w:szCs w:val="24"/>
        </w:rPr>
        <w:t>przedmiotów praw pokrewnych podlegać ma wprowadzanie na rynek krajowy urządzeń elektronicznych umożliwiających utrwalanie lub zwielokrotnianie dowolną techniką, w całości lub w części, w ramach własnego użytku osobistego, utworów o charakterze dźwiękowym, audiowizualnym, wyrażonych słowem, znakami graficznymi, fotograficznych lub plastycznych oraz przedmiotów praw pokrewnych.</w:t>
      </w:r>
    </w:p>
    <w:p w:rsidR="004C3719" w:rsidRPr="004C3719" w:rsidRDefault="004C3719" w:rsidP="004C3719">
      <w:pPr>
        <w:pStyle w:val="Akapitzlist"/>
        <w:ind w:left="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4C3719">
        <w:rPr>
          <w:rFonts w:ascii="Calibri" w:hAnsi="Calibri" w:cs="Calibri"/>
          <w:sz w:val="24"/>
          <w:szCs w:val="24"/>
        </w:rPr>
        <w:t>Tymczasem zgodnie z art. 1 ust. 2 obowiązującej ustawy o prawie autorskim i prawach pokrewnych w szczególności przedmiotem prawa autorskiego są utwory:</w:t>
      </w:r>
    </w:p>
    <w:p w:rsidR="004C3719" w:rsidRPr="004C3719" w:rsidRDefault="004C3719" w:rsidP="004C3719">
      <w:pPr>
        <w:pStyle w:val="Akapitzlist"/>
        <w:ind w:left="0"/>
        <w:contextualSpacing w:val="0"/>
        <w:jc w:val="both"/>
        <w:rPr>
          <w:rFonts w:ascii="Calibri" w:hAnsi="Calibri" w:cs="Calibri"/>
          <w:sz w:val="24"/>
          <w:szCs w:val="24"/>
        </w:rPr>
      </w:pPr>
      <w:bookmarkStart w:id="0" w:name="mip49613146"/>
      <w:bookmarkEnd w:id="0"/>
      <w:r w:rsidRPr="004C3719">
        <w:rPr>
          <w:rFonts w:ascii="Calibri" w:hAnsi="Calibri" w:cs="Calibri"/>
          <w:sz w:val="24"/>
          <w:szCs w:val="24"/>
        </w:rPr>
        <w:t>1) wyrażone słowem, symbolami matematycznymi, znakami graficznymi (literackie, publicystyczne, naukowe, kartograficzne oraz programy komputerowe);</w:t>
      </w:r>
    </w:p>
    <w:p w:rsidR="004C3719" w:rsidRPr="004C3719" w:rsidRDefault="004C3719" w:rsidP="004C3719">
      <w:pPr>
        <w:pStyle w:val="Akapitzlist"/>
        <w:ind w:left="0"/>
        <w:contextualSpacing w:val="0"/>
        <w:jc w:val="both"/>
        <w:rPr>
          <w:rFonts w:ascii="Calibri" w:hAnsi="Calibri" w:cs="Calibri"/>
          <w:sz w:val="24"/>
          <w:szCs w:val="24"/>
        </w:rPr>
      </w:pPr>
      <w:bookmarkStart w:id="1" w:name="mip49613147"/>
      <w:bookmarkEnd w:id="1"/>
      <w:r w:rsidRPr="004C3719">
        <w:rPr>
          <w:rFonts w:ascii="Calibri" w:hAnsi="Calibri" w:cs="Calibri"/>
          <w:sz w:val="24"/>
          <w:szCs w:val="24"/>
        </w:rPr>
        <w:lastRenderedPageBreak/>
        <w:t>2) plastyczne;</w:t>
      </w:r>
    </w:p>
    <w:p w:rsidR="004C3719" w:rsidRPr="004C3719" w:rsidRDefault="004C3719" w:rsidP="004C3719">
      <w:pPr>
        <w:pStyle w:val="Akapitzlist"/>
        <w:ind w:left="0"/>
        <w:contextualSpacing w:val="0"/>
        <w:jc w:val="both"/>
        <w:rPr>
          <w:rFonts w:ascii="Calibri" w:hAnsi="Calibri" w:cs="Calibri"/>
          <w:sz w:val="24"/>
          <w:szCs w:val="24"/>
        </w:rPr>
      </w:pPr>
      <w:bookmarkStart w:id="2" w:name="mip49613148"/>
      <w:bookmarkEnd w:id="2"/>
      <w:r w:rsidRPr="004C3719">
        <w:rPr>
          <w:rFonts w:ascii="Calibri" w:hAnsi="Calibri" w:cs="Calibri"/>
          <w:sz w:val="24"/>
          <w:szCs w:val="24"/>
        </w:rPr>
        <w:t>3) fotograficzne;</w:t>
      </w:r>
    </w:p>
    <w:p w:rsidR="004C3719" w:rsidRPr="004C3719" w:rsidRDefault="004C3719" w:rsidP="004C3719">
      <w:pPr>
        <w:pStyle w:val="Akapitzlist"/>
        <w:ind w:left="0"/>
        <w:contextualSpacing w:val="0"/>
        <w:jc w:val="both"/>
        <w:rPr>
          <w:rFonts w:ascii="Calibri" w:hAnsi="Calibri" w:cs="Calibri"/>
          <w:sz w:val="24"/>
          <w:szCs w:val="24"/>
        </w:rPr>
      </w:pPr>
      <w:bookmarkStart w:id="3" w:name="mip49613149"/>
      <w:bookmarkEnd w:id="3"/>
      <w:r w:rsidRPr="004C3719">
        <w:rPr>
          <w:rFonts w:ascii="Calibri" w:hAnsi="Calibri" w:cs="Calibri"/>
          <w:sz w:val="24"/>
          <w:szCs w:val="24"/>
        </w:rPr>
        <w:t>4)  lutnicze;</w:t>
      </w:r>
    </w:p>
    <w:p w:rsidR="004C3719" w:rsidRPr="004C3719" w:rsidRDefault="004C3719" w:rsidP="004C3719">
      <w:pPr>
        <w:pStyle w:val="Akapitzlist"/>
        <w:ind w:left="0"/>
        <w:contextualSpacing w:val="0"/>
        <w:jc w:val="both"/>
        <w:rPr>
          <w:rFonts w:ascii="Calibri" w:hAnsi="Calibri" w:cs="Calibri"/>
          <w:sz w:val="24"/>
          <w:szCs w:val="24"/>
        </w:rPr>
      </w:pPr>
      <w:bookmarkStart w:id="4" w:name="mip49613150"/>
      <w:bookmarkEnd w:id="4"/>
      <w:r w:rsidRPr="004C3719">
        <w:rPr>
          <w:rFonts w:ascii="Calibri" w:hAnsi="Calibri" w:cs="Calibri"/>
          <w:sz w:val="24"/>
          <w:szCs w:val="24"/>
        </w:rPr>
        <w:t>5)  wzornictwa przemysłowego;</w:t>
      </w:r>
    </w:p>
    <w:p w:rsidR="004C3719" w:rsidRPr="004C3719" w:rsidRDefault="004C3719" w:rsidP="004C3719">
      <w:pPr>
        <w:pStyle w:val="Akapitzlist"/>
        <w:ind w:left="0"/>
        <w:contextualSpacing w:val="0"/>
        <w:jc w:val="both"/>
        <w:rPr>
          <w:rFonts w:ascii="Calibri" w:hAnsi="Calibri" w:cs="Calibri"/>
          <w:sz w:val="24"/>
          <w:szCs w:val="24"/>
        </w:rPr>
      </w:pPr>
      <w:bookmarkStart w:id="5" w:name="mip49613151"/>
      <w:bookmarkEnd w:id="5"/>
      <w:r w:rsidRPr="004C3719">
        <w:rPr>
          <w:rFonts w:ascii="Calibri" w:hAnsi="Calibri" w:cs="Calibri"/>
          <w:sz w:val="24"/>
          <w:szCs w:val="24"/>
        </w:rPr>
        <w:t>6) architektoniczne, architektoniczno-urbanistyczne i urbanistyczne;</w:t>
      </w:r>
    </w:p>
    <w:p w:rsidR="004C3719" w:rsidRPr="004C3719" w:rsidRDefault="004C3719" w:rsidP="004C3719">
      <w:pPr>
        <w:pStyle w:val="Akapitzlist"/>
        <w:ind w:left="0"/>
        <w:contextualSpacing w:val="0"/>
        <w:jc w:val="both"/>
        <w:rPr>
          <w:rFonts w:ascii="Calibri" w:hAnsi="Calibri" w:cs="Calibri"/>
          <w:sz w:val="24"/>
          <w:szCs w:val="24"/>
        </w:rPr>
      </w:pPr>
      <w:bookmarkStart w:id="6" w:name="mip49613152"/>
      <w:bookmarkEnd w:id="6"/>
      <w:r w:rsidRPr="004C3719">
        <w:rPr>
          <w:rFonts w:ascii="Calibri" w:hAnsi="Calibri" w:cs="Calibri"/>
          <w:sz w:val="24"/>
          <w:szCs w:val="24"/>
        </w:rPr>
        <w:t>7) muzyczne i słowno-muzyczne;</w:t>
      </w:r>
    </w:p>
    <w:p w:rsidR="004C3719" w:rsidRPr="004C3719" w:rsidRDefault="004C3719" w:rsidP="004C3719">
      <w:pPr>
        <w:pStyle w:val="Akapitzlist"/>
        <w:ind w:left="0"/>
        <w:contextualSpacing w:val="0"/>
        <w:jc w:val="both"/>
        <w:rPr>
          <w:rFonts w:ascii="Calibri" w:hAnsi="Calibri" w:cs="Calibri"/>
          <w:sz w:val="24"/>
          <w:szCs w:val="24"/>
        </w:rPr>
      </w:pPr>
      <w:bookmarkStart w:id="7" w:name="mip49613153"/>
      <w:bookmarkEnd w:id="7"/>
      <w:r w:rsidRPr="004C3719">
        <w:rPr>
          <w:rFonts w:ascii="Calibri" w:hAnsi="Calibri" w:cs="Calibri"/>
          <w:sz w:val="24"/>
          <w:szCs w:val="24"/>
        </w:rPr>
        <w:t>8) sceniczne, sceniczno-muzyczne, choreograficzne i pantomimiczne;</w:t>
      </w:r>
    </w:p>
    <w:p w:rsidR="004C3719" w:rsidRPr="004C3719" w:rsidRDefault="004C3719" w:rsidP="004C3719">
      <w:pPr>
        <w:pStyle w:val="Akapitzlist"/>
        <w:ind w:left="0"/>
        <w:contextualSpacing w:val="0"/>
        <w:jc w:val="both"/>
        <w:rPr>
          <w:rFonts w:ascii="Calibri" w:hAnsi="Calibri" w:cs="Calibri"/>
          <w:sz w:val="24"/>
          <w:szCs w:val="24"/>
        </w:rPr>
      </w:pPr>
      <w:bookmarkStart w:id="8" w:name="mip49613154"/>
      <w:bookmarkEnd w:id="8"/>
      <w:r w:rsidRPr="004C3719">
        <w:rPr>
          <w:rFonts w:ascii="Calibri" w:hAnsi="Calibri" w:cs="Calibri"/>
          <w:sz w:val="24"/>
          <w:szCs w:val="24"/>
        </w:rPr>
        <w:t>9) audiowizualne (w tym filmowe).</w:t>
      </w:r>
    </w:p>
    <w:p w:rsidR="004C3719" w:rsidRPr="004C3719" w:rsidRDefault="004C3719" w:rsidP="004C3719">
      <w:pPr>
        <w:pStyle w:val="Akapitzlist"/>
        <w:ind w:left="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4C3719">
        <w:rPr>
          <w:rFonts w:ascii="Calibri" w:hAnsi="Calibri" w:cs="Calibri"/>
          <w:sz w:val="24"/>
          <w:szCs w:val="24"/>
        </w:rPr>
        <w:t>W projektowanym art. 20 ust. 1 pkt 1 nie został zatem wymieniony utwór wyrażony symbolami matematycznymi, o którym mowa w art. 1 ust. 2 pkt 1 omawianej ustawy. Rozważenia wymaga zatem kwestia tego, czy takiego rodzaju utwór również może zostać utrwalony lub zwielokrotniony urządzeniem elektronicznym, o którym mowa w</w:t>
      </w:r>
      <w:r w:rsidR="006C6E72">
        <w:rPr>
          <w:rFonts w:ascii="Calibri" w:hAnsi="Calibri" w:cs="Calibri"/>
          <w:sz w:val="24"/>
          <w:szCs w:val="24"/>
        </w:rPr>
        <w:t> </w:t>
      </w:r>
      <w:r w:rsidRPr="004C3719">
        <w:rPr>
          <w:rFonts w:ascii="Calibri" w:hAnsi="Calibri" w:cs="Calibri"/>
          <w:sz w:val="24"/>
          <w:szCs w:val="24"/>
        </w:rPr>
        <w:t xml:space="preserve">projektowanym przepisie. Jeśli tak, </w:t>
      </w:r>
      <w:r w:rsidR="006C6E72">
        <w:rPr>
          <w:rFonts w:ascii="Calibri" w:hAnsi="Calibri" w:cs="Calibri"/>
          <w:sz w:val="24"/>
          <w:szCs w:val="24"/>
        </w:rPr>
        <w:t xml:space="preserve">przepis </w:t>
      </w:r>
      <w:r w:rsidRPr="004C3719">
        <w:rPr>
          <w:rFonts w:ascii="Calibri" w:hAnsi="Calibri" w:cs="Calibri"/>
          <w:sz w:val="24"/>
          <w:szCs w:val="24"/>
        </w:rPr>
        <w:t xml:space="preserve">powinien zostać odpowiednio doprecyzowany. Jednocześnie wyjaśnienia wymaga, czy wymienione w art. 1 ust. 2 pkt 7 i 8 omawianej </w:t>
      </w:r>
      <w:r w:rsidR="006C6E72">
        <w:rPr>
          <w:rFonts w:ascii="Calibri" w:hAnsi="Calibri" w:cs="Calibri"/>
          <w:sz w:val="24"/>
          <w:szCs w:val="24"/>
        </w:rPr>
        <w:t xml:space="preserve">ustawy </w:t>
      </w:r>
      <w:r w:rsidRPr="004C3719">
        <w:rPr>
          <w:rFonts w:ascii="Calibri" w:hAnsi="Calibri" w:cs="Calibri"/>
          <w:sz w:val="24"/>
          <w:szCs w:val="24"/>
        </w:rPr>
        <w:t>utwory muzyczne i muzyczno-słowne, jak i sceniczne, sceniczno-muzyczne, choreograficzne i</w:t>
      </w:r>
      <w:r w:rsidR="006C6E72">
        <w:rPr>
          <w:rFonts w:ascii="Calibri" w:hAnsi="Calibri" w:cs="Calibri"/>
          <w:sz w:val="24"/>
          <w:szCs w:val="24"/>
        </w:rPr>
        <w:t> </w:t>
      </w:r>
      <w:r w:rsidRPr="004C3719">
        <w:rPr>
          <w:rFonts w:ascii="Calibri" w:hAnsi="Calibri" w:cs="Calibri"/>
          <w:sz w:val="24"/>
          <w:szCs w:val="24"/>
        </w:rPr>
        <w:t xml:space="preserve">pantomimiczne znajdą się w zakresie zastosowania projektowanego art. 20 ust. 1 pkt 1 ustawy o prawie autorskim i prawach pokrewnych. Artykuł 5 ust. 2 lit. b dyrektywy 2001/29/WE odnosi się do utworów lub przedmiotów objętych ochroną, zatem właściwe określenie zakresu przedmiotowego projektowanego przepisu jest istotne dla zapewnienia zgodności z tym przepisem. </w:t>
      </w:r>
    </w:p>
    <w:p w:rsidR="004C3719" w:rsidRPr="004C3719" w:rsidRDefault="004C3719" w:rsidP="004C3719">
      <w:pPr>
        <w:pStyle w:val="Akapitzlist"/>
        <w:numPr>
          <w:ilvl w:val="0"/>
          <w:numId w:val="3"/>
        </w:numPr>
        <w:ind w:left="0" w:hanging="283"/>
        <w:contextualSpacing w:val="0"/>
        <w:jc w:val="both"/>
        <w:rPr>
          <w:rFonts w:ascii="Calibri" w:hAnsi="Calibri" w:cs="Calibri"/>
          <w:sz w:val="24"/>
          <w:szCs w:val="24"/>
        </w:rPr>
      </w:pPr>
      <w:r w:rsidRPr="004C3719">
        <w:rPr>
          <w:rFonts w:ascii="Calibri" w:hAnsi="Calibri" w:cs="Calibri"/>
          <w:sz w:val="24"/>
          <w:szCs w:val="24"/>
        </w:rPr>
        <w:t>Projektowany art. 20 ust. 4 ustawy o prawie autorskim i prawach pokrewnych (art. 57 projektu ustawy) stanowi, że opłata reprograficzna ma wysokość od 1 do 4 procent:</w:t>
      </w:r>
    </w:p>
    <w:p w:rsidR="004C3719" w:rsidRPr="004C3719" w:rsidRDefault="004C3719" w:rsidP="004C3719">
      <w:pPr>
        <w:pStyle w:val="Akapitzlist"/>
        <w:ind w:left="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4C3719">
        <w:rPr>
          <w:rFonts w:ascii="Calibri" w:hAnsi="Calibri" w:cs="Calibri"/>
          <w:sz w:val="24"/>
          <w:szCs w:val="24"/>
        </w:rPr>
        <w:t>1) kwoty brutto należnej z tytułu pierwszej sprzedaży towaru,</w:t>
      </w:r>
    </w:p>
    <w:p w:rsidR="004C3719" w:rsidRPr="004C3719" w:rsidRDefault="004C3719" w:rsidP="004C3719">
      <w:pPr>
        <w:pStyle w:val="Akapitzlist"/>
        <w:ind w:left="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4C3719">
        <w:rPr>
          <w:rFonts w:ascii="Calibri" w:hAnsi="Calibri" w:cs="Calibri"/>
          <w:sz w:val="24"/>
          <w:szCs w:val="24"/>
        </w:rPr>
        <w:t>2) wartości rynkowej towaru z dnia pierwszego przekazania albo pierwszego przyjęcia w</w:t>
      </w:r>
      <w:r w:rsidR="006C6E72">
        <w:rPr>
          <w:rFonts w:ascii="Calibri" w:hAnsi="Calibri" w:cs="Calibri"/>
          <w:sz w:val="24"/>
          <w:szCs w:val="24"/>
        </w:rPr>
        <w:t> </w:t>
      </w:r>
      <w:r w:rsidRPr="004C3719">
        <w:rPr>
          <w:rFonts w:ascii="Calibri" w:hAnsi="Calibri" w:cs="Calibri"/>
          <w:sz w:val="24"/>
          <w:szCs w:val="24"/>
        </w:rPr>
        <w:t>użytkowanie dokonanego na terytorium Rzeczypospolitej Polskiej.</w:t>
      </w:r>
    </w:p>
    <w:p w:rsidR="004C3719" w:rsidRPr="004C3719" w:rsidRDefault="004C3719" w:rsidP="004C3719">
      <w:pPr>
        <w:pStyle w:val="Akapitzlist"/>
        <w:ind w:left="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4C3719">
        <w:rPr>
          <w:rFonts w:ascii="Calibri" w:hAnsi="Calibri" w:cs="Calibri"/>
          <w:sz w:val="24"/>
          <w:szCs w:val="24"/>
        </w:rPr>
        <w:t>Jednocześnie nowy art. 20i wspomnianej ustawy, zawierający delegację ustawową do</w:t>
      </w:r>
      <w:r w:rsidR="006C6E72">
        <w:rPr>
          <w:rFonts w:ascii="Calibri" w:hAnsi="Calibri" w:cs="Calibri"/>
          <w:sz w:val="24"/>
          <w:szCs w:val="24"/>
        </w:rPr>
        <w:t> </w:t>
      </w:r>
      <w:r w:rsidRPr="004C3719">
        <w:rPr>
          <w:rFonts w:ascii="Calibri" w:hAnsi="Calibri" w:cs="Calibri"/>
          <w:sz w:val="24"/>
          <w:szCs w:val="24"/>
        </w:rPr>
        <w:t xml:space="preserve">wydania rozporządzenia, które ma określić wysokość tych opłat, wskazuje, że ma to się odbyć wyłącznie przy uwzględnieniu ceny danego urządzenia i zakresu jego wykorzystywania w ramach dozwolonego użytku osobistego. </w:t>
      </w:r>
    </w:p>
    <w:p w:rsidR="004C3719" w:rsidRPr="004C3719" w:rsidRDefault="004C3719" w:rsidP="004C3719">
      <w:pPr>
        <w:pStyle w:val="Akapitzlist"/>
        <w:ind w:left="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4C3719">
        <w:rPr>
          <w:rFonts w:ascii="Calibri" w:hAnsi="Calibri" w:cs="Calibri"/>
          <w:sz w:val="24"/>
          <w:szCs w:val="24"/>
        </w:rPr>
        <w:t>Zgodnie z motywem 38 preambuły dyrektywy 2001/29/WE, państwa członkowskie powinny być upoważnione do uwzględnienia, za godziwą rekompensatą, wyjątku lub ograniczenia wobec prawa do zwielokrotniania dla niektórych rodzajów zwielokrotniania produktów dźwiękowych, wizualnych i audiowizualnych przeznaczonych do użytku prywatnego. Ponadto w takich przypadkach należy odpowiednio uwzględnić różnice między prywatnym cyfrowym i</w:t>
      </w:r>
      <w:r w:rsidR="006C6E72">
        <w:rPr>
          <w:rFonts w:ascii="Calibri" w:hAnsi="Calibri" w:cs="Calibri"/>
          <w:sz w:val="24"/>
          <w:szCs w:val="24"/>
        </w:rPr>
        <w:t> </w:t>
      </w:r>
      <w:r w:rsidRPr="004C3719">
        <w:rPr>
          <w:rFonts w:ascii="Calibri" w:hAnsi="Calibri" w:cs="Calibri"/>
          <w:sz w:val="24"/>
          <w:szCs w:val="24"/>
        </w:rPr>
        <w:t xml:space="preserve">analogowym kopiowaniem oraz dokonać odpowiednich rozróżnień pomiędzy ich pewnymi aspektami. Jednocześnie na podstawie zdania pierwszego motywu 39 wskazanej preambuły, stosując wyjątek lub ograniczenie w przypadku kopii prywatnej, państwa członkowskie powinny należycie uwzględnić również rozwój technologiczny i gospodarczy, w szczególności </w:t>
      </w:r>
      <w:r w:rsidRPr="004C3719">
        <w:rPr>
          <w:rFonts w:ascii="Calibri" w:hAnsi="Calibri" w:cs="Calibri"/>
          <w:sz w:val="24"/>
          <w:szCs w:val="24"/>
        </w:rPr>
        <w:lastRenderedPageBreak/>
        <w:t>w odniesieniu do prywatnego cyfrowego kopiowania oraz systemów wynagradzania, gdy</w:t>
      </w:r>
      <w:r w:rsidR="006C6E72">
        <w:rPr>
          <w:rFonts w:ascii="Calibri" w:hAnsi="Calibri" w:cs="Calibri"/>
          <w:sz w:val="24"/>
          <w:szCs w:val="24"/>
        </w:rPr>
        <w:t> </w:t>
      </w:r>
      <w:r w:rsidRPr="004C3719">
        <w:rPr>
          <w:rFonts w:ascii="Calibri" w:hAnsi="Calibri" w:cs="Calibri"/>
          <w:sz w:val="24"/>
          <w:szCs w:val="24"/>
        </w:rPr>
        <w:t xml:space="preserve">dostępne są skuteczne zabezpieczenia techniczne. </w:t>
      </w:r>
    </w:p>
    <w:p w:rsidR="004C3719" w:rsidRPr="004C3719" w:rsidRDefault="004C3719" w:rsidP="004C3719">
      <w:pPr>
        <w:pStyle w:val="Akapitzlist"/>
        <w:ind w:left="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4C3719">
        <w:rPr>
          <w:rFonts w:ascii="Calibri" w:hAnsi="Calibri" w:cs="Calibri"/>
          <w:sz w:val="24"/>
          <w:szCs w:val="24"/>
        </w:rPr>
        <w:t xml:space="preserve">Wyjaśnienia wymaga zatem, w jaki sposób te czynniki będą uwzględniane w trakcie decydowania o wysokości wspomnianej opłaty – obecne brzmienie przepisów projektu ustawy nie zawiera w tym zakresie wskazań, uzasadnienie do projektu również o tym aspekcie nie wspomina. </w:t>
      </w:r>
    </w:p>
    <w:p w:rsidR="004C3719" w:rsidRPr="004C3719" w:rsidRDefault="004C3719" w:rsidP="004C3719">
      <w:pPr>
        <w:pStyle w:val="Akapitzlist"/>
        <w:numPr>
          <w:ilvl w:val="0"/>
          <w:numId w:val="3"/>
        </w:numPr>
        <w:ind w:left="0" w:hanging="283"/>
        <w:contextualSpacing w:val="0"/>
        <w:jc w:val="both"/>
        <w:rPr>
          <w:rFonts w:ascii="Calibri" w:hAnsi="Calibri" w:cs="Calibri"/>
          <w:sz w:val="24"/>
          <w:szCs w:val="24"/>
        </w:rPr>
      </w:pPr>
      <w:r w:rsidRPr="004C3719">
        <w:rPr>
          <w:rFonts w:ascii="Calibri" w:hAnsi="Calibri" w:cs="Calibri"/>
          <w:sz w:val="24"/>
          <w:szCs w:val="24"/>
        </w:rPr>
        <w:t>Wyjaśnienia wymaga również projektowany art. 20f ust. 6 ustawy o prawie autorskim i</w:t>
      </w:r>
      <w:r w:rsidR="006C6E72">
        <w:rPr>
          <w:rFonts w:ascii="Calibri" w:hAnsi="Calibri" w:cs="Calibri"/>
          <w:sz w:val="24"/>
          <w:szCs w:val="24"/>
        </w:rPr>
        <w:t> </w:t>
      </w:r>
      <w:r w:rsidRPr="004C3719">
        <w:rPr>
          <w:rFonts w:ascii="Calibri" w:hAnsi="Calibri" w:cs="Calibri"/>
          <w:sz w:val="24"/>
          <w:szCs w:val="24"/>
        </w:rPr>
        <w:t>prawach pokrewnych (art. 57 projektu ustawy). Przepis ten stanowi, że minister właściwy do</w:t>
      </w:r>
      <w:r w:rsidR="006C6E72">
        <w:rPr>
          <w:rFonts w:ascii="Calibri" w:hAnsi="Calibri" w:cs="Calibri"/>
          <w:sz w:val="24"/>
          <w:szCs w:val="24"/>
        </w:rPr>
        <w:t> </w:t>
      </w:r>
      <w:r w:rsidRPr="004C3719">
        <w:rPr>
          <w:rFonts w:ascii="Calibri" w:hAnsi="Calibri" w:cs="Calibri"/>
          <w:sz w:val="24"/>
          <w:szCs w:val="24"/>
        </w:rPr>
        <w:t>spraw kultury może określić, w drodze rozporządzenia, sposób podziału opłaty między właściwe organizacje zbiorowego zarządzania, biorąc pod uwagę strukturę korzystania z</w:t>
      </w:r>
      <w:r w:rsidR="006C6E72">
        <w:rPr>
          <w:rFonts w:ascii="Calibri" w:hAnsi="Calibri" w:cs="Calibri"/>
          <w:sz w:val="24"/>
          <w:szCs w:val="24"/>
        </w:rPr>
        <w:t> </w:t>
      </w:r>
      <w:r w:rsidRPr="004C3719">
        <w:rPr>
          <w:rFonts w:ascii="Calibri" w:hAnsi="Calibri" w:cs="Calibri"/>
          <w:sz w:val="24"/>
          <w:szCs w:val="24"/>
        </w:rPr>
        <w:t xml:space="preserve">utworów i artystycznych </w:t>
      </w:r>
      <w:proofErr w:type="spellStart"/>
      <w:r w:rsidRPr="004C3719">
        <w:rPr>
          <w:rFonts w:ascii="Calibri" w:hAnsi="Calibri" w:cs="Calibri"/>
          <w:sz w:val="24"/>
          <w:szCs w:val="24"/>
        </w:rPr>
        <w:t>wykonań</w:t>
      </w:r>
      <w:proofErr w:type="spellEnd"/>
      <w:r w:rsidRPr="004C3719">
        <w:rPr>
          <w:rFonts w:ascii="Calibri" w:hAnsi="Calibri" w:cs="Calibri"/>
          <w:sz w:val="24"/>
          <w:szCs w:val="24"/>
        </w:rPr>
        <w:t xml:space="preserve"> dla własnego użytku osobistego oraz proporcje udziałów w tej strukturze poszczególnych właściwych organizacji zbiorowego zarządzania. </w:t>
      </w:r>
    </w:p>
    <w:p w:rsidR="004C3719" w:rsidRPr="004C3719" w:rsidRDefault="004C3719" w:rsidP="004C3719">
      <w:pPr>
        <w:pStyle w:val="Akapitzlist"/>
        <w:ind w:left="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4C3719">
        <w:rPr>
          <w:rFonts w:ascii="Calibri" w:hAnsi="Calibri" w:cs="Calibri"/>
          <w:sz w:val="24"/>
          <w:szCs w:val="24"/>
        </w:rPr>
        <w:t>Tymczasem już na podstawie projektowanego art. 20f ust. 5 organ ten może tego dokonać, i</w:t>
      </w:r>
      <w:r w:rsidR="006C6E72">
        <w:rPr>
          <w:rFonts w:ascii="Calibri" w:hAnsi="Calibri" w:cs="Calibri"/>
          <w:sz w:val="24"/>
          <w:szCs w:val="24"/>
        </w:rPr>
        <w:t> </w:t>
      </w:r>
      <w:r w:rsidRPr="004C3719">
        <w:rPr>
          <w:rFonts w:ascii="Calibri" w:hAnsi="Calibri" w:cs="Calibri"/>
          <w:sz w:val="24"/>
          <w:szCs w:val="24"/>
        </w:rPr>
        <w:t>to tylko wyłącznie w przypadku, w którym organizacje zbiorowego zarządzania nie zawarły porozumienia w sprawie podziału opłat lub porozumienie to zerwały, o której to sytuacji projektowany art. 20f ust. 6 nie wspomina. Projektowany art. 20f ust. 6 omawianej ustawy wskazuje ponadto dodatkową przesłankę, którą organ ten musi wziąć pod uwagę, tj.</w:t>
      </w:r>
      <w:r w:rsidR="006C6E72">
        <w:rPr>
          <w:rFonts w:ascii="Calibri" w:hAnsi="Calibri" w:cs="Calibri"/>
          <w:sz w:val="24"/>
          <w:szCs w:val="24"/>
        </w:rPr>
        <w:t> </w:t>
      </w:r>
      <w:r w:rsidRPr="004C3719">
        <w:rPr>
          <w:rFonts w:ascii="Calibri" w:hAnsi="Calibri" w:cs="Calibri"/>
          <w:sz w:val="24"/>
          <w:szCs w:val="24"/>
        </w:rPr>
        <w:t>proporcje udziałów w tej strukturze poszczególnych organizacji zbiorowego zarządzania, a</w:t>
      </w:r>
      <w:r w:rsidR="006C6E72">
        <w:rPr>
          <w:rFonts w:ascii="Calibri" w:hAnsi="Calibri" w:cs="Calibri"/>
          <w:sz w:val="24"/>
          <w:szCs w:val="24"/>
        </w:rPr>
        <w:t> </w:t>
      </w:r>
      <w:r w:rsidRPr="004C3719">
        <w:rPr>
          <w:rFonts w:ascii="Calibri" w:hAnsi="Calibri" w:cs="Calibri"/>
          <w:sz w:val="24"/>
          <w:szCs w:val="24"/>
        </w:rPr>
        <w:t xml:space="preserve">która nie została wymieniona w art. 20f ust. 5 </w:t>
      </w:r>
      <w:r w:rsidR="006C6E72">
        <w:rPr>
          <w:rFonts w:ascii="Calibri" w:hAnsi="Calibri" w:cs="Calibri"/>
          <w:sz w:val="24"/>
          <w:szCs w:val="24"/>
        </w:rPr>
        <w:t>wskazanej</w:t>
      </w:r>
      <w:r w:rsidRPr="004C3719">
        <w:rPr>
          <w:rFonts w:ascii="Calibri" w:hAnsi="Calibri" w:cs="Calibri"/>
          <w:sz w:val="24"/>
          <w:szCs w:val="24"/>
        </w:rPr>
        <w:t xml:space="preserve"> ustawy.  </w:t>
      </w:r>
    </w:p>
    <w:p w:rsidR="004C3719" w:rsidRDefault="006C6E72" w:rsidP="004C3719">
      <w:pPr>
        <w:pStyle w:val="Akapitzlist"/>
        <w:ind w:left="0" w:hanging="11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4"/>
          <w:szCs w:val="24"/>
        </w:rPr>
        <w:t>Wydaje</w:t>
      </w:r>
      <w:r w:rsidR="004C3719" w:rsidRPr="004C3719">
        <w:rPr>
          <w:rFonts w:ascii="Calibri" w:hAnsi="Calibri" w:cs="Calibri"/>
          <w:sz w:val="24"/>
          <w:szCs w:val="24"/>
        </w:rPr>
        <w:t xml:space="preserve"> się zatem, że projektowany art. 20f ust. 6 ustawy o prawie autorskim i prawach pokrewnych może kreować dodatkową, poza wspomnianym nowym art. 20f ust. 5 tej ustawy, podstawę dokonania podziału opłaty między organizacjami zbiorowego zarządzania. Natomiast jeśli projektowane art. 20f ust. 5 i 6 omawianej ustawy dotyczącą tej samej sytuacji, zasadne jest ujednolicenie tych jednostek redakcyjnych</w:t>
      </w:r>
      <w:r>
        <w:rPr>
          <w:rFonts w:ascii="Calibri" w:hAnsi="Calibri" w:cs="Calibri"/>
          <w:sz w:val="24"/>
          <w:szCs w:val="24"/>
        </w:rPr>
        <w:t xml:space="preserve"> </w:t>
      </w:r>
      <w:r w:rsidR="004C3719" w:rsidRPr="004C3719">
        <w:rPr>
          <w:rFonts w:ascii="Calibri" w:hAnsi="Calibri" w:cs="Calibri"/>
          <w:sz w:val="24"/>
          <w:szCs w:val="24"/>
        </w:rPr>
        <w:t>tak</w:t>
      </w:r>
      <w:r>
        <w:rPr>
          <w:rFonts w:ascii="Calibri" w:hAnsi="Calibri" w:cs="Calibri"/>
          <w:sz w:val="24"/>
          <w:szCs w:val="24"/>
        </w:rPr>
        <w:t>,</w:t>
      </w:r>
      <w:r w:rsidR="004C3719" w:rsidRPr="004C3719">
        <w:rPr>
          <w:rFonts w:ascii="Calibri" w:hAnsi="Calibri" w:cs="Calibri"/>
          <w:sz w:val="24"/>
          <w:szCs w:val="24"/>
        </w:rPr>
        <w:t xml:space="preserve"> by nie budziło wątpliwości, w</w:t>
      </w:r>
      <w:r>
        <w:rPr>
          <w:rFonts w:ascii="Calibri" w:hAnsi="Calibri" w:cs="Calibri"/>
          <w:sz w:val="24"/>
          <w:szCs w:val="24"/>
        </w:rPr>
        <w:t> </w:t>
      </w:r>
      <w:r w:rsidR="004C3719" w:rsidRPr="004C3719">
        <w:rPr>
          <w:rFonts w:ascii="Calibri" w:hAnsi="Calibri" w:cs="Calibri"/>
          <w:sz w:val="24"/>
          <w:szCs w:val="24"/>
        </w:rPr>
        <w:t>jakich przypadkach znajdą one zastosowanie. Kwestia ta wymaga wyjaśnienia, i</w:t>
      </w:r>
      <w:r>
        <w:rPr>
          <w:rFonts w:ascii="Calibri" w:hAnsi="Calibri" w:cs="Calibri"/>
          <w:sz w:val="24"/>
          <w:szCs w:val="24"/>
        </w:rPr>
        <w:t> </w:t>
      </w:r>
      <w:r w:rsidR="004C3719" w:rsidRPr="004C3719">
        <w:rPr>
          <w:rFonts w:ascii="Calibri" w:hAnsi="Calibri" w:cs="Calibri"/>
          <w:sz w:val="24"/>
          <w:szCs w:val="24"/>
        </w:rPr>
        <w:t>ewentualnego doprecyzowania wskazanych przepisów, rzutuje to bowiem na prawidłową ich ocenę w świetle wymogów art. 5 ust. 2 lit. b dyrektywy 2001/29/WE.</w:t>
      </w:r>
      <w:r w:rsidR="004C3719" w:rsidRPr="004C3719">
        <w:rPr>
          <w:rFonts w:ascii="Calibri" w:hAnsi="Calibri" w:cs="Calibri"/>
        </w:rPr>
        <w:t xml:space="preserve"> </w:t>
      </w:r>
    </w:p>
    <w:p w:rsidR="00645687" w:rsidRDefault="00645687" w:rsidP="00645687">
      <w:pPr>
        <w:ind w:hanging="284"/>
        <w:jc w:val="both"/>
        <w:rPr>
          <w:rFonts w:eastAsiaTheme="minorHAnsi"/>
          <w:color w:val="auto"/>
          <w:sz w:val="24"/>
          <w:szCs w:val="24"/>
        </w:rPr>
      </w:pPr>
      <w:r>
        <w:t xml:space="preserve">7. </w:t>
      </w:r>
      <w:r w:rsidR="00EF4FCA">
        <w:tab/>
      </w:r>
      <w:r>
        <w:rPr>
          <w:sz w:val="24"/>
          <w:szCs w:val="24"/>
        </w:rPr>
        <w:t xml:space="preserve">Projekt ustawy w art. 9 określa wymagania, jakie muszą spełnić członkowie Rady Izby. Jednym z nich jest posiadanie obywatelstwa polskiego. </w:t>
      </w:r>
    </w:p>
    <w:p w:rsidR="00645687" w:rsidRDefault="00645687" w:rsidP="00645687">
      <w:pPr>
        <w:jc w:val="both"/>
        <w:rPr>
          <w:sz w:val="24"/>
          <w:szCs w:val="24"/>
        </w:rPr>
      </w:pPr>
      <w:r>
        <w:rPr>
          <w:sz w:val="24"/>
          <w:szCs w:val="24"/>
        </w:rPr>
        <w:t>Należy zauważyć, że taki wymóg stanowi dyskryminację ze względu na obywatelstwo, co do zasady zakazan</w:t>
      </w:r>
      <w:r w:rsidR="000B0B41">
        <w:rPr>
          <w:sz w:val="24"/>
          <w:szCs w:val="24"/>
        </w:rPr>
        <w:t>ą</w:t>
      </w:r>
      <w:r>
        <w:rPr>
          <w:sz w:val="24"/>
          <w:szCs w:val="24"/>
        </w:rPr>
        <w:t xml:space="preserve"> na podstawie art. 45 TFUE. Taka dyskryminacja mogłaby być uznana za</w:t>
      </w:r>
      <w:r w:rsidR="000B0B41">
        <w:rPr>
          <w:sz w:val="24"/>
          <w:szCs w:val="24"/>
        </w:rPr>
        <w:t> </w:t>
      </w:r>
      <w:r>
        <w:rPr>
          <w:sz w:val="24"/>
          <w:szCs w:val="24"/>
        </w:rPr>
        <w:t>dopuszczalną w świetle prawa UE w szczególności w przypadku, gdy dane stanowisko stanowi zatrudnienie w administracji publicznej, w rozumieniu art. 45 ust. 4 Traktatu o</w:t>
      </w:r>
      <w:r w:rsidR="000B0B41">
        <w:rPr>
          <w:sz w:val="24"/>
          <w:szCs w:val="24"/>
        </w:rPr>
        <w:t> </w:t>
      </w:r>
      <w:r>
        <w:rPr>
          <w:sz w:val="24"/>
          <w:szCs w:val="24"/>
        </w:rPr>
        <w:t xml:space="preserve">funkcjonowaniu UE. </w:t>
      </w:r>
    </w:p>
    <w:p w:rsidR="00645687" w:rsidRDefault="00645687" w:rsidP="00645687">
      <w:pPr>
        <w:jc w:val="both"/>
        <w:rPr>
          <w:sz w:val="24"/>
          <w:szCs w:val="24"/>
        </w:rPr>
      </w:pPr>
      <w:r>
        <w:rPr>
          <w:sz w:val="24"/>
          <w:szCs w:val="24"/>
        </w:rPr>
        <w:t>Trybunał Sprawiedliwości UE na gruncie art. 45 ust. 4 TFUE (</w:t>
      </w:r>
      <w:r w:rsidRPr="000B0B41">
        <w:rPr>
          <w:sz w:val="24"/>
          <w:szCs w:val="24"/>
        </w:rPr>
        <w:t>swobodny przepływ osób - zakaz dyskryminacji ze względu na przynależność państwową</w:t>
      </w:r>
      <w:r>
        <w:rPr>
          <w:sz w:val="24"/>
          <w:szCs w:val="24"/>
        </w:rPr>
        <w:t>) wypracował unijną „definicję” pojęcia „organ administracji publicznej”. Trybunał uznał, że na mocy art. 45 ust. 4 TFUE z</w:t>
      </w:r>
      <w:r w:rsidR="00F176EC">
        <w:rPr>
          <w:sz w:val="24"/>
          <w:szCs w:val="24"/>
        </w:rPr>
        <w:t> </w:t>
      </w:r>
      <w:r>
        <w:rPr>
          <w:sz w:val="24"/>
          <w:szCs w:val="24"/>
        </w:rPr>
        <w:t>zakresu swobody przepływu pracowników wyłączone są stanowiska, które wiążą się</w:t>
      </w:r>
      <w:r w:rsidR="00F176EC">
        <w:rPr>
          <w:sz w:val="24"/>
          <w:szCs w:val="24"/>
        </w:rPr>
        <w:t> </w:t>
      </w:r>
      <w:r>
        <w:rPr>
          <w:sz w:val="24"/>
          <w:szCs w:val="24"/>
        </w:rPr>
        <w:t>z</w:t>
      </w:r>
      <w:r w:rsidR="00F176EC">
        <w:rPr>
          <w:sz w:val="24"/>
          <w:szCs w:val="24"/>
        </w:rPr>
        <w:t> </w:t>
      </w:r>
      <w:r>
        <w:rPr>
          <w:sz w:val="24"/>
          <w:szCs w:val="24"/>
        </w:rPr>
        <w:t>bezpośrednim lub pośrednim udziałem w sprawowaniu władzy, opartym na prawie publicznym i obowiązkach, których celem jest ochrona ogólnych interesów państwa lub</w:t>
      </w:r>
      <w:r w:rsidR="00F176EC">
        <w:rPr>
          <w:sz w:val="24"/>
          <w:szCs w:val="24"/>
        </w:rPr>
        <w:t> </w:t>
      </w:r>
      <w:r>
        <w:rPr>
          <w:sz w:val="24"/>
          <w:szCs w:val="24"/>
        </w:rPr>
        <w:t xml:space="preserve">władzy publicznej. Przy takich stanowiskach jest wymagany szczególny stosunek lojalności wobec państwa i wprowadzana jest dwustronność obowiązków, stanowiących podstawę </w:t>
      </w:r>
      <w:r>
        <w:rPr>
          <w:sz w:val="24"/>
          <w:szCs w:val="24"/>
        </w:rPr>
        <w:lastRenderedPageBreak/>
        <w:t xml:space="preserve">więzi narodowej (wyrok z dnia 26 maja 1982 r., </w:t>
      </w:r>
      <w:r w:rsidRPr="00F176EC">
        <w:rPr>
          <w:iCs/>
          <w:sz w:val="24"/>
          <w:szCs w:val="24"/>
        </w:rPr>
        <w:t>Komisja p. Belgii</w:t>
      </w:r>
      <w:r>
        <w:rPr>
          <w:sz w:val="24"/>
          <w:szCs w:val="24"/>
        </w:rPr>
        <w:t>, 149/79, pkt 10). W świetle dotychczasowego orzecznictwa Trybunału za tradycyjną sferę działalności państwowej uznaje się w szczególności sądownictwo, obronność, dyplomację, pobieranie podatków. W</w:t>
      </w:r>
      <w:r w:rsidR="00F176EC">
        <w:rPr>
          <w:sz w:val="24"/>
          <w:szCs w:val="24"/>
        </w:rPr>
        <w:t> </w:t>
      </w:r>
      <w:r>
        <w:rPr>
          <w:sz w:val="24"/>
          <w:szCs w:val="24"/>
        </w:rPr>
        <w:t xml:space="preserve"> pozostałych przypadkach należy przyjąć generalną zasadę, że nie są one objęte zakresem zatrudnienia w administracji publicznej w rozumieniu prawa unijnego. W razie sporu dotyczącego charakteru wykonywanej działalności i tego, czy stanowisko pozostaje w ramach wykonywania władzy publicznej, należy badać charakter obowiązków związanych z</w:t>
      </w:r>
      <w:r w:rsidR="00F176EC">
        <w:rPr>
          <w:sz w:val="24"/>
          <w:szCs w:val="24"/>
        </w:rPr>
        <w:t> </w:t>
      </w:r>
      <w:r>
        <w:rPr>
          <w:sz w:val="24"/>
          <w:szCs w:val="24"/>
        </w:rPr>
        <w:t xml:space="preserve">zatrudnieniem na danym stanowisku. Dopiero, gdy państwo członkowskie wykaże, że dane stanowisko jest związane z bezpośrednim lub pośrednim udziałem w sprawowaniu władzy oraz ochroną interesów państwa, można zastosować art. 45 ust. 4 TFUE i wolno zarezerwować zatrudnienie dla swoich obywateli (wyroki: z dnia 2 lipca 1996 r., </w:t>
      </w:r>
      <w:r w:rsidRPr="00F176EC">
        <w:rPr>
          <w:iCs/>
          <w:sz w:val="24"/>
          <w:szCs w:val="24"/>
        </w:rPr>
        <w:t>Komisja p. Luksemburgowi</w:t>
      </w:r>
      <w:r>
        <w:rPr>
          <w:i/>
          <w:iCs/>
          <w:sz w:val="24"/>
          <w:szCs w:val="24"/>
        </w:rPr>
        <w:t xml:space="preserve">, </w:t>
      </w:r>
      <w:r>
        <w:rPr>
          <w:sz w:val="24"/>
          <w:szCs w:val="24"/>
        </w:rPr>
        <w:t xml:space="preserve">C-473/93, pkt 46-47; z dnia 2 lipca 1996 r., </w:t>
      </w:r>
      <w:r w:rsidRPr="00F176EC">
        <w:rPr>
          <w:iCs/>
          <w:sz w:val="24"/>
          <w:szCs w:val="24"/>
        </w:rPr>
        <w:t>Komisja p. Belgii</w:t>
      </w:r>
      <w:r>
        <w:rPr>
          <w:sz w:val="24"/>
          <w:szCs w:val="24"/>
        </w:rPr>
        <w:t xml:space="preserve">, C-173/94, pkt 18-21; z dnia 2 lipca 1996 r., </w:t>
      </w:r>
      <w:r w:rsidRPr="00F176EC">
        <w:rPr>
          <w:iCs/>
          <w:sz w:val="24"/>
          <w:szCs w:val="24"/>
        </w:rPr>
        <w:t>Komisja p. Grecji</w:t>
      </w:r>
      <w:r>
        <w:rPr>
          <w:i/>
          <w:iCs/>
          <w:sz w:val="24"/>
          <w:szCs w:val="24"/>
        </w:rPr>
        <w:t xml:space="preserve">, </w:t>
      </w:r>
      <w:r>
        <w:rPr>
          <w:sz w:val="24"/>
          <w:szCs w:val="24"/>
        </w:rPr>
        <w:t>C-290/94, pkt 35-36).</w:t>
      </w:r>
    </w:p>
    <w:p w:rsidR="00956158" w:rsidRDefault="00645687" w:rsidP="00EF4FCA">
      <w:pPr>
        <w:jc w:val="both"/>
        <w:rPr>
          <w:sz w:val="24"/>
          <w:szCs w:val="24"/>
        </w:rPr>
      </w:pPr>
      <w:r>
        <w:rPr>
          <w:sz w:val="24"/>
          <w:szCs w:val="24"/>
        </w:rPr>
        <w:t>Zakres czynności wykonywanych przez członków Rady Izby określonych w art. 12 projektowanej ustawy budzi wątpliwości co do spełnienia wynikających z przytoczonego orzecznictwa przesłanek dla zastosowania art. 45 ust. 4 TFUE. Ponadto, uzasadnienie projektu w żaden sposób nie wyjaśnia</w:t>
      </w:r>
      <w:r w:rsidR="00096F40">
        <w:rPr>
          <w:sz w:val="24"/>
          <w:szCs w:val="24"/>
        </w:rPr>
        <w:t>,</w:t>
      </w:r>
      <w:r>
        <w:rPr>
          <w:sz w:val="24"/>
          <w:szCs w:val="24"/>
        </w:rPr>
        <w:t xml:space="preserve"> dlaczego w stosunku do członków Rady Izby sformułowano wymóg obywatelstwa polskiego. Biorąc powyższe pod uwagę wymóg ten może być uznany za</w:t>
      </w:r>
      <w:r w:rsidR="00096F40">
        <w:rPr>
          <w:sz w:val="24"/>
          <w:szCs w:val="24"/>
        </w:rPr>
        <w:t> </w:t>
      </w:r>
      <w:r>
        <w:rPr>
          <w:sz w:val="24"/>
          <w:szCs w:val="24"/>
        </w:rPr>
        <w:t>niezgodny z prawem UE. W związku z powyższym wskazana jest ponowna analiza konieczności posiadania przez członków Rady Izby obywatelstwa polskiego lub wskazanie w</w:t>
      </w:r>
      <w:r w:rsidR="00096F40">
        <w:rPr>
          <w:sz w:val="24"/>
          <w:szCs w:val="24"/>
        </w:rPr>
        <w:t> </w:t>
      </w:r>
      <w:r>
        <w:rPr>
          <w:sz w:val="24"/>
          <w:szCs w:val="24"/>
        </w:rPr>
        <w:t>uzasadnieniu powodów, dla których posiadanie obywatelstwa jest konieczne, z</w:t>
      </w:r>
      <w:r w:rsidR="00096F40">
        <w:rPr>
          <w:sz w:val="24"/>
          <w:szCs w:val="24"/>
        </w:rPr>
        <w:t> </w:t>
      </w:r>
      <w:r>
        <w:rPr>
          <w:sz w:val="24"/>
          <w:szCs w:val="24"/>
        </w:rPr>
        <w:t>uwzględnieniem wymogów wynikających z prawa UE i orzecznictwa Trybunału Sprawiedliwości.</w:t>
      </w:r>
    </w:p>
    <w:p w:rsidR="005B6F27" w:rsidRPr="005B6F27" w:rsidRDefault="005B6F27" w:rsidP="005B6F27">
      <w:pPr>
        <w:pStyle w:val="Akapitzlist"/>
        <w:numPr>
          <w:ilvl w:val="0"/>
          <w:numId w:val="4"/>
        </w:numPr>
        <w:ind w:left="0" w:hanging="284"/>
        <w:contextualSpacing w:val="0"/>
        <w:jc w:val="both"/>
        <w:rPr>
          <w:sz w:val="24"/>
          <w:szCs w:val="24"/>
        </w:rPr>
      </w:pPr>
      <w:r w:rsidRPr="005B6F27">
        <w:rPr>
          <w:sz w:val="24"/>
          <w:szCs w:val="24"/>
        </w:rPr>
        <w:t xml:space="preserve">Artykuł 28 ust. 2 projektu ustawy wskazuje katalog osób, którym mogą zostać potwierdzone uprawnienia artysty zawodowego. Są to </w:t>
      </w:r>
      <w:r>
        <w:rPr>
          <w:sz w:val="24"/>
          <w:szCs w:val="24"/>
        </w:rPr>
        <w:t xml:space="preserve">wyłącznie </w:t>
      </w:r>
      <w:r w:rsidRPr="005B6F27">
        <w:rPr>
          <w:sz w:val="24"/>
          <w:szCs w:val="24"/>
        </w:rPr>
        <w:t>osoby posiadające obywatelstwo polskie albo obywatele państw członkowskich Unii Europejskiej, Europejskiego Obszaru Gospodarczego, Konfederacji Szwajcarskiej wraz z członkami ich rodzin, a także określone grupy cudzoziemców, pod warunkiem zamieszkiwania na terytorium Polski. Posiadanie statusu artysty zawodowego, zgodnie z art. 38 projektu ustawy, uprawnia do opłacania składek na ubezpieczenie społeczne i zdrowotne na zasadach określonych w odrębnych przepisach oraz do Dopłaty.</w:t>
      </w:r>
    </w:p>
    <w:p w:rsidR="005B6F27" w:rsidRPr="005B6F27" w:rsidRDefault="005B6F27" w:rsidP="005B6F27">
      <w:pPr>
        <w:pStyle w:val="Akapitzlist"/>
        <w:ind w:left="0"/>
        <w:jc w:val="both"/>
        <w:rPr>
          <w:sz w:val="24"/>
          <w:szCs w:val="24"/>
        </w:rPr>
      </w:pPr>
      <w:r w:rsidRPr="005B6F27">
        <w:rPr>
          <w:sz w:val="24"/>
          <w:szCs w:val="24"/>
        </w:rPr>
        <w:t>Analizując katalog osób uprawnionych do potwierdzenia uprawnień artysty zawodowego należy wskazać, że przepisy prawa UE mogą zobowiązywać do przyznania takiego uprawnienia szerszy katalog cudzoziemców – obywateli państw trzecich</w:t>
      </w:r>
      <w:r>
        <w:rPr>
          <w:sz w:val="24"/>
          <w:szCs w:val="24"/>
        </w:rPr>
        <w:t>,</w:t>
      </w:r>
      <w:r w:rsidRPr="005B6F27">
        <w:rPr>
          <w:sz w:val="24"/>
          <w:szCs w:val="24"/>
        </w:rPr>
        <w:t xml:space="preserve"> niż wskazany w art. 28 ust. 2 lit.</w:t>
      </w:r>
      <w:r>
        <w:rPr>
          <w:sz w:val="24"/>
          <w:szCs w:val="24"/>
        </w:rPr>
        <w:t> </w:t>
      </w:r>
      <w:r w:rsidRPr="005B6F27">
        <w:rPr>
          <w:sz w:val="24"/>
          <w:szCs w:val="24"/>
        </w:rPr>
        <w:t>b) projektu ustawy. Dotyczyć to może pracowników sezonowych zgodnie z przepisami dyrektywy Parlamentu Europejskiego i Rady 2014/36/UE z dnia 26 lutego 2014 r. w sprawie warunków wjazdu i pobytu obywateli państw trzecich w celu zatrudnienia w charakterze pracownika sezonowego, pracowników o wysokich kwalifikacjach zgodnie z przepisami dyrektywy Rady 2009/50/WE z dnia 25 maja 2009 r. w sprawie warunków wjazdu i pobytu obywateli państw trzecich w celu podjęcia pracy w zawodzie wymagającym wysokich kwalifikacji oraz obywateli państw trzecich objętych zakresem podmiotowym dyrektywy  Parlamentu Europejskiego i Rady 2011/98/UE z dnia 13 grudnia 2011 r. w sprawie procedury jednego wniosku o jedno zezwolenie dla obywateli państw trzecich na pobyt i pracę na</w:t>
      </w:r>
      <w:r>
        <w:rPr>
          <w:sz w:val="24"/>
          <w:szCs w:val="24"/>
        </w:rPr>
        <w:t> </w:t>
      </w:r>
      <w:r w:rsidRPr="005B6F27">
        <w:rPr>
          <w:sz w:val="24"/>
          <w:szCs w:val="24"/>
        </w:rPr>
        <w:t xml:space="preserve">terytorium państwa członkowskiego oraz w sprawie wspólnego zbioru praw </w:t>
      </w:r>
      <w:r w:rsidRPr="005B6F27">
        <w:rPr>
          <w:sz w:val="24"/>
          <w:szCs w:val="24"/>
        </w:rPr>
        <w:lastRenderedPageBreak/>
        <w:t>dla</w:t>
      </w:r>
      <w:r>
        <w:rPr>
          <w:sz w:val="24"/>
          <w:szCs w:val="24"/>
        </w:rPr>
        <w:t> </w:t>
      </w:r>
      <w:r w:rsidRPr="005B6F27">
        <w:rPr>
          <w:sz w:val="24"/>
          <w:szCs w:val="24"/>
        </w:rPr>
        <w:t xml:space="preserve">pracowników z państw trzecich przebywających legalnie w państwie członkowskim.  Żadna z tych dyrektyw nie wyklucza podejmowania pracy mającej charakter działalności artystycznej, a zgodnie z ich </w:t>
      </w:r>
      <w:r>
        <w:rPr>
          <w:sz w:val="24"/>
          <w:szCs w:val="24"/>
        </w:rPr>
        <w:t>przepisami</w:t>
      </w:r>
      <w:r w:rsidRPr="005B6F27">
        <w:rPr>
          <w:sz w:val="24"/>
          <w:szCs w:val="24"/>
        </w:rPr>
        <w:t xml:space="preserve"> obywatele państw trzecich powinni mieć zapewnione równe traktowania z obywatelami polskimi m.in. w zakresie zabezpieczenia społecznego, a</w:t>
      </w:r>
      <w:r>
        <w:rPr>
          <w:sz w:val="24"/>
          <w:szCs w:val="24"/>
        </w:rPr>
        <w:t> </w:t>
      </w:r>
      <w:r w:rsidRPr="005B6F27">
        <w:rPr>
          <w:sz w:val="24"/>
          <w:szCs w:val="24"/>
        </w:rPr>
        <w:t xml:space="preserve">więc uprawnienia przewidzianego w art. 38 pkt 2 i 3 projektowanej ustawy (art. 23 ust. 1 lit. d) dyrektywy 2014/36/UE, art. 14 ust. 1 lit. e) dyrektywy 2009/50/WE orz art. 12 ust. 1 lit. e) dyrektywy 2011/98/UE). Mając powyższe na uwadze konieczne jest rozważenie odpowiedniego uzupełnienia projektu ustawy o wskazane powyżej kategorie obywateli państw trzecich </w:t>
      </w:r>
      <w:r>
        <w:rPr>
          <w:sz w:val="24"/>
          <w:szCs w:val="24"/>
        </w:rPr>
        <w:t>albo</w:t>
      </w:r>
      <w:r w:rsidRPr="005B6F27">
        <w:rPr>
          <w:sz w:val="24"/>
          <w:szCs w:val="24"/>
        </w:rPr>
        <w:t xml:space="preserve"> wskazanie </w:t>
      </w:r>
      <w:r w:rsidR="00B5506E" w:rsidRPr="005B6F27">
        <w:rPr>
          <w:sz w:val="24"/>
          <w:szCs w:val="24"/>
        </w:rPr>
        <w:t xml:space="preserve">zgodnych z przepisami prawa UE </w:t>
      </w:r>
      <w:r w:rsidRPr="005B6F27">
        <w:rPr>
          <w:sz w:val="24"/>
          <w:szCs w:val="24"/>
        </w:rPr>
        <w:t>powodów uzasadniających pominięcie tych kategorii osób.</w:t>
      </w:r>
      <w:bookmarkStart w:id="9" w:name="_GoBack"/>
      <w:bookmarkEnd w:id="9"/>
    </w:p>
    <w:p w:rsidR="00CB4E38" w:rsidRDefault="00956158" w:rsidP="00542DB8">
      <w:pPr>
        <w:spacing w:after="0" w:line="240" w:lineRule="auto"/>
        <w:ind w:left="-142"/>
        <w:jc w:val="both"/>
        <w:rPr>
          <w:rFonts w:eastAsia="Times New Roman" w:cs="Times New Roman"/>
          <w:b/>
          <w:color w:val="auto"/>
          <w:sz w:val="24"/>
          <w:szCs w:val="24"/>
        </w:rPr>
      </w:pPr>
      <w:r>
        <w:rPr>
          <w:rFonts w:eastAsia="Times New Roman" w:cs="Times New Roman"/>
          <w:b/>
          <w:color w:val="auto"/>
          <w:sz w:val="24"/>
          <w:szCs w:val="24"/>
        </w:rPr>
        <w:t xml:space="preserve">Projekt ustawy </w:t>
      </w:r>
      <w:r w:rsidR="008A41DE">
        <w:rPr>
          <w:rFonts w:eastAsia="Times New Roman" w:cs="Times New Roman"/>
          <w:b/>
          <w:color w:val="auto"/>
          <w:sz w:val="24"/>
          <w:szCs w:val="24"/>
        </w:rPr>
        <w:t>nie jest sprzeczny</w:t>
      </w:r>
      <w:r w:rsidR="00B22F30">
        <w:rPr>
          <w:rFonts w:eastAsia="Times New Roman" w:cs="Times New Roman"/>
          <w:b/>
          <w:color w:val="auto"/>
          <w:sz w:val="24"/>
          <w:szCs w:val="24"/>
        </w:rPr>
        <w:t xml:space="preserve"> z prawem </w:t>
      </w:r>
      <w:r>
        <w:rPr>
          <w:rFonts w:eastAsia="Times New Roman" w:cs="Times New Roman"/>
          <w:b/>
          <w:color w:val="auto"/>
          <w:sz w:val="24"/>
          <w:szCs w:val="24"/>
        </w:rPr>
        <w:t>Unii Europejskiej</w:t>
      </w:r>
      <w:r w:rsidR="005B6F27">
        <w:rPr>
          <w:rFonts w:eastAsia="Times New Roman" w:cs="Times New Roman"/>
          <w:b/>
          <w:color w:val="auto"/>
          <w:sz w:val="24"/>
          <w:szCs w:val="24"/>
        </w:rPr>
        <w:t>,</w:t>
      </w:r>
      <w:r>
        <w:rPr>
          <w:rFonts w:eastAsia="Times New Roman" w:cs="Times New Roman"/>
          <w:b/>
          <w:color w:val="auto"/>
          <w:sz w:val="24"/>
          <w:szCs w:val="24"/>
        </w:rPr>
        <w:t xml:space="preserve"> z zastrzeżeniem uwag zawartych w niniejszej opinii.</w:t>
      </w:r>
    </w:p>
    <w:p w:rsidR="00C23FF3" w:rsidRPr="00C23FF3" w:rsidRDefault="00C23FF3" w:rsidP="00542DB8">
      <w:pPr>
        <w:spacing w:after="0" w:line="240" w:lineRule="auto"/>
        <w:ind w:left="-142"/>
        <w:jc w:val="both"/>
        <w:rPr>
          <w:rFonts w:eastAsia="Times New Roman" w:cs="Times New Roman"/>
          <w:color w:val="auto"/>
          <w:sz w:val="24"/>
          <w:szCs w:val="24"/>
        </w:rPr>
      </w:pPr>
    </w:p>
    <w:p w:rsidR="00947E68" w:rsidRPr="00C23FF3" w:rsidRDefault="00EF3954" w:rsidP="00947E68">
      <w:pPr>
        <w:ind w:left="4956" w:right="-1" w:firstLine="284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</w:t>
      </w:r>
      <w:r w:rsidR="00947E68" w:rsidRPr="00C23FF3">
        <w:rPr>
          <w:i/>
          <w:sz w:val="24"/>
          <w:szCs w:val="24"/>
        </w:rPr>
        <w:t>Z poważaniem</w:t>
      </w:r>
    </w:p>
    <w:p w:rsidR="00947E68" w:rsidRPr="00C23FF3" w:rsidRDefault="00947E68" w:rsidP="00EF3954">
      <w:pPr>
        <w:spacing w:after="0" w:line="240" w:lineRule="auto"/>
        <w:ind w:left="2835" w:firstLine="705"/>
        <w:jc w:val="center"/>
        <w:rPr>
          <w:sz w:val="24"/>
          <w:szCs w:val="24"/>
          <w:lang w:eastAsia="en-US"/>
        </w:rPr>
      </w:pPr>
      <w:r w:rsidRPr="00C23FF3">
        <w:rPr>
          <w:sz w:val="24"/>
          <w:szCs w:val="24"/>
          <w:lang w:eastAsia="en-US"/>
        </w:rPr>
        <w:t>Konrad Szymański</w:t>
      </w:r>
    </w:p>
    <w:p w:rsidR="00947E68" w:rsidRPr="00C23FF3" w:rsidRDefault="00947E68" w:rsidP="00EF3954">
      <w:pPr>
        <w:spacing w:after="0" w:line="240" w:lineRule="auto"/>
        <w:ind w:left="2835" w:firstLine="705"/>
        <w:jc w:val="center"/>
        <w:rPr>
          <w:sz w:val="24"/>
          <w:szCs w:val="24"/>
          <w:lang w:eastAsia="en-US"/>
        </w:rPr>
      </w:pPr>
      <w:r w:rsidRPr="00C23FF3">
        <w:rPr>
          <w:sz w:val="24"/>
          <w:szCs w:val="24"/>
          <w:lang w:eastAsia="en-US"/>
        </w:rPr>
        <w:t>Minister do Spraw Unii Europejskiej</w:t>
      </w:r>
    </w:p>
    <w:p w:rsidR="00B9144F" w:rsidRPr="00956158" w:rsidRDefault="00947E68" w:rsidP="00956158">
      <w:pPr>
        <w:spacing w:after="60" w:line="240" w:lineRule="auto"/>
        <w:ind w:left="3540"/>
        <w:rPr>
          <w:i/>
          <w:lang w:eastAsia="en-US"/>
        </w:rPr>
      </w:pPr>
      <w:r w:rsidRPr="00C23FF3">
        <w:rPr>
          <w:i/>
          <w:sz w:val="24"/>
          <w:szCs w:val="24"/>
          <w:lang w:eastAsia="en-US"/>
        </w:rPr>
        <w:t>/podpisano kwalifikowanym podpisem elektronicznym</w:t>
      </w:r>
      <w:r w:rsidRPr="00825CA7">
        <w:rPr>
          <w:i/>
          <w:lang w:eastAsia="en-US"/>
        </w:rPr>
        <w:t>/</w:t>
      </w:r>
    </w:p>
    <w:sectPr w:rsidR="00B9144F" w:rsidRPr="00956158">
      <w:headerReference w:type="default" r:id="rId9"/>
      <w:footerReference w:type="default" r:id="rId10"/>
      <w:pgSz w:w="11906" w:h="16838"/>
      <w:pgMar w:top="674" w:right="1440" w:bottom="907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F61" w:rsidRDefault="00BE0F61" w:rsidP="00884D92">
      <w:pPr>
        <w:spacing w:after="0" w:line="240" w:lineRule="auto"/>
      </w:pPr>
      <w:r>
        <w:separator/>
      </w:r>
    </w:p>
  </w:endnote>
  <w:endnote w:type="continuationSeparator" w:id="0">
    <w:p w:rsidR="00BE0F61" w:rsidRDefault="00BE0F61" w:rsidP="00884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8521592"/>
      <w:docPartObj>
        <w:docPartGallery w:val="Page Numbers (Bottom of Page)"/>
        <w:docPartUnique/>
      </w:docPartObj>
    </w:sdtPr>
    <w:sdtEndPr/>
    <w:sdtContent>
      <w:p w:rsidR="00612558" w:rsidRDefault="0061255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506E">
          <w:rPr>
            <w:noProof/>
          </w:rPr>
          <w:t>7</w:t>
        </w:r>
        <w:r>
          <w:fldChar w:fldCharType="end"/>
        </w:r>
      </w:p>
    </w:sdtContent>
  </w:sdt>
  <w:p w:rsidR="00612558" w:rsidRDefault="006125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F61" w:rsidRDefault="00BE0F61" w:rsidP="00884D92">
      <w:pPr>
        <w:spacing w:after="0" w:line="240" w:lineRule="auto"/>
      </w:pPr>
      <w:r>
        <w:separator/>
      </w:r>
    </w:p>
  </w:footnote>
  <w:footnote w:type="continuationSeparator" w:id="0">
    <w:p w:rsidR="00BE0F61" w:rsidRDefault="00BE0F61" w:rsidP="00884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491" w:rsidRDefault="00ED1491" w:rsidP="00ED1491">
    <w:pPr>
      <w:pStyle w:val="Nagwek"/>
      <w:tabs>
        <w:tab w:val="clear" w:pos="4536"/>
        <w:tab w:val="center" w:pos="5670"/>
        <w:tab w:val="left" w:pos="7088"/>
      </w:tabs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F30F8"/>
    <w:multiLevelType w:val="hybridMultilevel"/>
    <w:tmpl w:val="5A8AE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371602"/>
    <w:multiLevelType w:val="hybridMultilevel"/>
    <w:tmpl w:val="EDAC9D5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5E35C8"/>
    <w:multiLevelType w:val="hybridMultilevel"/>
    <w:tmpl w:val="C9AC5044"/>
    <w:lvl w:ilvl="0" w:tplc="201C239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5A1FF7"/>
    <w:multiLevelType w:val="hybridMultilevel"/>
    <w:tmpl w:val="41DAC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41D"/>
    <w:rsid w:val="000004E3"/>
    <w:rsid w:val="00014259"/>
    <w:rsid w:val="00042DC2"/>
    <w:rsid w:val="00044ED8"/>
    <w:rsid w:val="000761B7"/>
    <w:rsid w:val="00086255"/>
    <w:rsid w:val="00093B54"/>
    <w:rsid w:val="00096F40"/>
    <w:rsid w:val="000A799C"/>
    <w:rsid w:val="000B0B41"/>
    <w:rsid w:val="000B2057"/>
    <w:rsid w:val="000B641D"/>
    <w:rsid w:val="000B7445"/>
    <w:rsid w:val="000D4B0A"/>
    <w:rsid w:val="000F0C07"/>
    <w:rsid w:val="000F3E86"/>
    <w:rsid w:val="00122DF8"/>
    <w:rsid w:val="00123AB9"/>
    <w:rsid w:val="00124A97"/>
    <w:rsid w:val="00160A53"/>
    <w:rsid w:val="001635D8"/>
    <w:rsid w:val="00177E3B"/>
    <w:rsid w:val="00196D2B"/>
    <w:rsid w:val="001B4D9A"/>
    <w:rsid w:val="001D03B9"/>
    <w:rsid w:val="001D3B7A"/>
    <w:rsid w:val="001E3DB4"/>
    <w:rsid w:val="0020435D"/>
    <w:rsid w:val="002069D3"/>
    <w:rsid w:val="00240171"/>
    <w:rsid w:val="002408A5"/>
    <w:rsid w:val="0027609E"/>
    <w:rsid w:val="002772A5"/>
    <w:rsid w:val="0028261B"/>
    <w:rsid w:val="00283716"/>
    <w:rsid w:val="0028713C"/>
    <w:rsid w:val="0029164F"/>
    <w:rsid w:val="0029337C"/>
    <w:rsid w:val="002A7BC7"/>
    <w:rsid w:val="002C109B"/>
    <w:rsid w:val="002C256D"/>
    <w:rsid w:val="002C4133"/>
    <w:rsid w:val="002D00F7"/>
    <w:rsid w:val="00321435"/>
    <w:rsid w:val="00331BAF"/>
    <w:rsid w:val="0036308D"/>
    <w:rsid w:val="00381526"/>
    <w:rsid w:val="003A034C"/>
    <w:rsid w:val="00427A5C"/>
    <w:rsid w:val="00450BBF"/>
    <w:rsid w:val="004563E3"/>
    <w:rsid w:val="00461FB9"/>
    <w:rsid w:val="00473BDA"/>
    <w:rsid w:val="004C3719"/>
    <w:rsid w:val="004E508E"/>
    <w:rsid w:val="004F3ADA"/>
    <w:rsid w:val="00512825"/>
    <w:rsid w:val="00513DA6"/>
    <w:rsid w:val="005248AB"/>
    <w:rsid w:val="00526740"/>
    <w:rsid w:val="00526E89"/>
    <w:rsid w:val="00541DB5"/>
    <w:rsid w:val="00542D4C"/>
    <w:rsid w:val="00542DB8"/>
    <w:rsid w:val="00564741"/>
    <w:rsid w:val="005B6F27"/>
    <w:rsid w:val="005D12AA"/>
    <w:rsid w:val="005D4755"/>
    <w:rsid w:val="005F4199"/>
    <w:rsid w:val="00611B1D"/>
    <w:rsid w:val="006121D8"/>
    <w:rsid w:val="00612558"/>
    <w:rsid w:val="0062415E"/>
    <w:rsid w:val="00631ABF"/>
    <w:rsid w:val="006407BC"/>
    <w:rsid w:val="0064475E"/>
    <w:rsid w:val="00645687"/>
    <w:rsid w:val="0064638C"/>
    <w:rsid w:val="0065315C"/>
    <w:rsid w:val="0068725C"/>
    <w:rsid w:val="006A35BE"/>
    <w:rsid w:val="006C4E77"/>
    <w:rsid w:val="006C6E72"/>
    <w:rsid w:val="006F0C92"/>
    <w:rsid w:val="00700032"/>
    <w:rsid w:val="00700623"/>
    <w:rsid w:val="007039AD"/>
    <w:rsid w:val="007125CE"/>
    <w:rsid w:val="0072499E"/>
    <w:rsid w:val="007971C8"/>
    <w:rsid w:val="00797FAF"/>
    <w:rsid w:val="007B0826"/>
    <w:rsid w:val="007E5196"/>
    <w:rsid w:val="00804084"/>
    <w:rsid w:val="00820A19"/>
    <w:rsid w:val="00830075"/>
    <w:rsid w:val="00837EA2"/>
    <w:rsid w:val="00863975"/>
    <w:rsid w:val="00864E4A"/>
    <w:rsid w:val="0086668D"/>
    <w:rsid w:val="00871581"/>
    <w:rsid w:val="00884D92"/>
    <w:rsid w:val="00890026"/>
    <w:rsid w:val="008A32ED"/>
    <w:rsid w:val="008A41DE"/>
    <w:rsid w:val="008C547F"/>
    <w:rsid w:val="008E792F"/>
    <w:rsid w:val="008F63BA"/>
    <w:rsid w:val="009275C7"/>
    <w:rsid w:val="00937391"/>
    <w:rsid w:val="0094089D"/>
    <w:rsid w:val="00941E4B"/>
    <w:rsid w:val="00942F3D"/>
    <w:rsid w:val="009436B3"/>
    <w:rsid w:val="00945152"/>
    <w:rsid w:val="00947E68"/>
    <w:rsid w:val="00956158"/>
    <w:rsid w:val="0096349E"/>
    <w:rsid w:val="00971EC4"/>
    <w:rsid w:val="00982846"/>
    <w:rsid w:val="00994207"/>
    <w:rsid w:val="009B1ED8"/>
    <w:rsid w:val="009E4B69"/>
    <w:rsid w:val="009E61E1"/>
    <w:rsid w:val="009E62E7"/>
    <w:rsid w:val="00A01AD0"/>
    <w:rsid w:val="00A07D61"/>
    <w:rsid w:val="00A42047"/>
    <w:rsid w:val="00A44CB4"/>
    <w:rsid w:val="00A60782"/>
    <w:rsid w:val="00A715E3"/>
    <w:rsid w:val="00A72014"/>
    <w:rsid w:val="00A72F41"/>
    <w:rsid w:val="00AB07C8"/>
    <w:rsid w:val="00AB29D2"/>
    <w:rsid w:val="00AC0F11"/>
    <w:rsid w:val="00AC4CF9"/>
    <w:rsid w:val="00AC7494"/>
    <w:rsid w:val="00B11CEA"/>
    <w:rsid w:val="00B22BAD"/>
    <w:rsid w:val="00B22F30"/>
    <w:rsid w:val="00B2743A"/>
    <w:rsid w:val="00B5506E"/>
    <w:rsid w:val="00B60915"/>
    <w:rsid w:val="00B70751"/>
    <w:rsid w:val="00B73F5A"/>
    <w:rsid w:val="00B74C91"/>
    <w:rsid w:val="00B816B3"/>
    <w:rsid w:val="00B8622D"/>
    <w:rsid w:val="00B9144F"/>
    <w:rsid w:val="00B9361E"/>
    <w:rsid w:val="00BE0F61"/>
    <w:rsid w:val="00C0687F"/>
    <w:rsid w:val="00C21013"/>
    <w:rsid w:val="00C2114C"/>
    <w:rsid w:val="00C23FF3"/>
    <w:rsid w:val="00C33AB1"/>
    <w:rsid w:val="00C5564B"/>
    <w:rsid w:val="00CB4E38"/>
    <w:rsid w:val="00CC039F"/>
    <w:rsid w:val="00CC223B"/>
    <w:rsid w:val="00CC3F08"/>
    <w:rsid w:val="00CE4FF0"/>
    <w:rsid w:val="00CE600C"/>
    <w:rsid w:val="00CF1E3F"/>
    <w:rsid w:val="00D25A53"/>
    <w:rsid w:val="00D41BFF"/>
    <w:rsid w:val="00D45209"/>
    <w:rsid w:val="00D54C3B"/>
    <w:rsid w:val="00D54FC4"/>
    <w:rsid w:val="00D9791D"/>
    <w:rsid w:val="00DB0528"/>
    <w:rsid w:val="00DD1C5F"/>
    <w:rsid w:val="00DF29EC"/>
    <w:rsid w:val="00E039D2"/>
    <w:rsid w:val="00E23D0D"/>
    <w:rsid w:val="00E24F1F"/>
    <w:rsid w:val="00E34163"/>
    <w:rsid w:val="00E4549A"/>
    <w:rsid w:val="00E663EA"/>
    <w:rsid w:val="00E81598"/>
    <w:rsid w:val="00E859AD"/>
    <w:rsid w:val="00EB404A"/>
    <w:rsid w:val="00ED1491"/>
    <w:rsid w:val="00EF3954"/>
    <w:rsid w:val="00EF4FCA"/>
    <w:rsid w:val="00EF5397"/>
    <w:rsid w:val="00F00FF4"/>
    <w:rsid w:val="00F176EC"/>
    <w:rsid w:val="00F17A2D"/>
    <w:rsid w:val="00F71466"/>
    <w:rsid w:val="00F83F19"/>
    <w:rsid w:val="00F847F7"/>
    <w:rsid w:val="00FA6F38"/>
    <w:rsid w:val="00FB1C46"/>
    <w:rsid w:val="00FE1915"/>
    <w:rsid w:val="00FE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AB90674-777A-4A43-97F6-F87636717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561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D9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D92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782"/>
    <w:rPr>
      <w:rFonts w:ascii="Tahoma" w:eastAsia="Calibri" w:hAnsi="Tahoma" w:cs="Tahoma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rsid w:val="00EB404A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B404A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treci">
    <w:name w:val="Tekst treści_"/>
    <w:basedOn w:val="Domylnaczcionkaakapitu"/>
    <w:link w:val="Teksttreci0"/>
    <w:rsid w:val="00C21013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C21013"/>
    <w:pPr>
      <w:widowControl w:val="0"/>
      <w:spacing w:line="276" w:lineRule="auto"/>
    </w:pPr>
    <w:rPr>
      <w:color w:val="auto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7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E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E68"/>
    <w:rPr>
      <w:rFonts w:ascii="Calibri" w:eastAsia="Calibri" w:hAnsi="Calibri" w:cs="Calibri"/>
      <w:color w:val="000000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5615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6158"/>
    <w:pPr>
      <w:spacing w:after="0"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6158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6158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956158"/>
    <w:rPr>
      <w:i/>
      <w:iCs/>
    </w:rPr>
  </w:style>
  <w:style w:type="paragraph" w:styleId="Akapitzlist">
    <w:name w:val="List Paragraph"/>
    <w:basedOn w:val="Normalny"/>
    <w:uiPriority w:val="34"/>
    <w:qFormat/>
    <w:rsid w:val="004C3719"/>
    <w:pPr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F8194-A2CD-41BA-8021-4B8B94580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2803</Words>
  <Characters>16820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Stańczyk Rafał</dc:creator>
  <cp:lastModifiedBy> </cp:lastModifiedBy>
  <cp:revision>10</cp:revision>
  <dcterms:created xsi:type="dcterms:W3CDTF">2021-05-25T09:57:00Z</dcterms:created>
  <dcterms:modified xsi:type="dcterms:W3CDTF">2021-05-25T15:54:00Z</dcterms:modified>
</cp:coreProperties>
</file>